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5E" w:rsidRDefault="00E82C5E">
      <w:pPr>
        <w:rPr>
          <w:sz w:val="24"/>
          <w:szCs w:val="24"/>
          <w:lang w:val="en-US"/>
        </w:rPr>
      </w:pPr>
      <w:bookmarkStart w:id="0" w:name="_GoBack"/>
      <w:bookmarkEnd w:id="0"/>
    </w:p>
    <w:p w:rsidR="00B6271F" w:rsidRPr="002F0EB4" w:rsidRDefault="00B6271F" w:rsidP="006D6422">
      <w:pPr>
        <w:spacing w:line="360" w:lineRule="auto"/>
        <w:ind w:firstLine="425"/>
        <w:jc w:val="both"/>
        <w:rPr>
          <w:spacing w:val="-6"/>
          <w:sz w:val="24"/>
          <w:szCs w:val="24"/>
        </w:rPr>
      </w:pPr>
      <w:r w:rsidRPr="002F0EB4">
        <w:rPr>
          <w:spacing w:val="-6"/>
          <w:sz w:val="24"/>
          <w:szCs w:val="24"/>
        </w:rPr>
        <w:t>ОАО «</w:t>
      </w:r>
      <w:r w:rsidR="00CB5981">
        <w:rPr>
          <w:spacing w:val="-6"/>
          <w:sz w:val="24"/>
          <w:szCs w:val="24"/>
        </w:rPr>
        <w:t>КОМПАНИЯ</w:t>
      </w:r>
      <w:r w:rsidRPr="002F0EB4">
        <w:rPr>
          <w:spacing w:val="-6"/>
          <w:sz w:val="24"/>
          <w:szCs w:val="24"/>
        </w:rPr>
        <w:t>» было образовано 1 марта 2011 года путем акционирования Федерального государственного унитарного предприятия «</w:t>
      </w:r>
      <w:r w:rsidR="00CB5981">
        <w:rPr>
          <w:spacing w:val="-6"/>
          <w:sz w:val="24"/>
          <w:szCs w:val="24"/>
        </w:rPr>
        <w:t>КОМПАНИЯ</w:t>
      </w:r>
      <w:r w:rsidRPr="002F0EB4">
        <w:rPr>
          <w:spacing w:val="-6"/>
          <w:sz w:val="24"/>
          <w:szCs w:val="24"/>
        </w:rPr>
        <w:t>». Появилась необходимость создания системы корпоративного управления Акционерного общества, организации взаимодействия между Советом директоров и менеджментом предприятия, определения стратегии развития общества, повышения эффективности деятельности общества.</w:t>
      </w:r>
    </w:p>
    <w:p w:rsidR="00B6271F" w:rsidRPr="002F0EB4" w:rsidRDefault="00B6271F" w:rsidP="006D6422">
      <w:pPr>
        <w:spacing w:line="360" w:lineRule="auto"/>
        <w:ind w:firstLine="425"/>
        <w:jc w:val="both"/>
        <w:rPr>
          <w:spacing w:val="-6"/>
          <w:sz w:val="24"/>
          <w:szCs w:val="24"/>
        </w:rPr>
      </w:pPr>
      <w:r w:rsidRPr="002F0EB4">
        <w:rPr>
          <w:spacing w:val="-6"/>
          <w:sz w:val="24"/>
          <w:szCs w:val="24"/>
        </w:rPr>
        <w:t xml:space="preserve">За период работы в Совете директоров общества были разработаны и утверждены внутренние нормативные документы, регулирующие взаимоотношения </w:t>
      </w:r>
      <w:r w:rsidR="00A43B0A" w:rsidRPr="002F0EB4">
        <w:rPr>
          <w:spacing w:val="-6"/>
          <w:sz w:val="24"/>
          <w:szCs w:val="24"/>
        </w:rPr>
        <w:t xml:space="preserve">между </w:t>
      </w:r>
      <w:r w:rsidRPr="002F0EB4">
        <w:rPr>
          <w:spacing w:val="-6"/>
          <w:sz w:val="24"/>
          <w:szCs w:val="24"/>
        </w:rPr>
        <w:t>Обществ</w:t>
      </w:r>
      <w:r w:rsidR="00A43B0A" w:rsidRPr="002F0EB4">
        <w:rPr>
          <w:spacing w:val="-6"/>
          <w:sz w:val="24"/>
          <w:szCs w:val="24"/>
        </w:rPr>
        <w:t>ом</w:t>
      </w:r>
      <w:r w:rsidRPr="002F0EB4">
        <w:rPr>
          <w:spacing w:val="-6"/>
          <w:sz w:val="24"/>
          <w:szCs w:val="24"/>
        </w:rPr>
        <w:t xml:space="preserve"> и Совет</w:t>
      </w:r>
      <w:r w:rsidR="00A43B0A" w:rsidRPr="002F0EB4">
        <w:rPr>
          <w:spacing w:val="-6"/>
          <w:sz w:val="24"/>
          <w:szCs w:val="24"/>
        </w:rPr>
        <w:t>ом</w:t>
      </w:r>
      <w:r w:rsidRPr="002F0EB4">
        <w:rPr>
          <w:spacing w:val="-6"/>
          <w:sz w:val="24"/>
          <w:szCs w:val="24"/>
        </w:rPr>
        <w:t xml:space="preserve"> директоров – «Положение о Совете директоров», «Положение о секретаре Совета директоров», «Положение о единоличном исполнительном органе</w:t>
      </w:r>
      <w:r w:rsidR="005F52C9" w:rsidRPr="005F52C9">
        <w:rPr>
          <w:spacing w:val="-6"/>
          <w:sz w:val="24"/>
          <w:szCs w:val="24"/>
        </w:rPr>
        <w:t xml:space="preserve"> </w:t>
      </w:r>
      <w:r w:rsidR="005F52C9">
        <w:rPr>
          <w:spacing w:val="-6"/>
          <w:sz w:val="24"/>
          <w:szCs w:val="24"/>
        </w:rPr>
        <w:t>(генеральном директоре)</w:t>
      </w:r>
      <w:r w:rsidR="00A43B0A" w:rsidRPr="002F0EB4">
        <w:rPr>
          <w:spacing w:val="-6"/>
          <w:sz w:val="24"/>
          <w:szCs w:val="24"/>
        </w:rPr>
        <w:t xml:space="preserve">», «Положение о вознаграждении членов Совета директоров и единоличного исполнительного органа». Ежегодно заключаются </w:t>
      </w:r>
      <w:r w:rsidR="00DD1130" w:rsidRPr="002F0EB4">
        <w:rPr>
          <w:spacing w:val="-6"/>
          <w:sz w:val="24"/>
          <w:szCs w:val="24"/>
        </w:rPr>
        <w:t>договор</w:t>
      </w:r>
      <w:r w:rsidR="00227AA5" w:rsidRPr="002F0EB4">
        <w:rPr>
          <w:spacing w:val="-6"/>
          <w:sz w:val="24"/>
          <w:szCs w:val="24"/>
        </w:rPr>
        <w:t>ы</w:t>
      </w:r>
      <w:r w:rsidR="00DD1130" w:rsidRPr="002F0EB4">
        <w:rPr>
          <w:spacing w:val="-6"/>
          <w:sz w:val="24"/>
          <w:szCs w:val="24"/>
        </w:rPr>
        <w:t>, регулирующие отношения между обществом и членами Совета директоров, связанные с осуществлением полномочий члена Совета директоров общества</w:t>
      </w:r>
      <w:r w:rsidR="00A43B0A" w:rsidRPr="002F0EB4">
        <w:rPr>
          <w:spacing w:val="-6"/>
          <w:sz w:val="24"/>
          <w:szCs w:val="24"/>
        </w:rPr>
        <w:t xml:space="preserve">. Ежегодно страхуется ответственность членов Совета директоров и единоличного исполнительного органа </w:t>
      </w:r>
      <w:r w:rsidR="00DD1130" w:rsidRPr="002F0EB4">
        <w:rPr>
          <w:spacing w:val="-6"/>
          <w:sz w:val="24"/>
          <w:szCs w:val="24"/>
        </w:rPr>
        <w:t xml:space="preserve">по обязательствам, возникающим </w:t>
      </w:r>
      <w:r w:rsidR="003328C7" w:rsidRPr="002F0EB4">
        <w:rPr>
          <w:spacing w:val="-6"/>
          <w:sz w:val="24"/>
          <w:szCs w:val="24"/>
        </w:rPr>
        <w:t>вследствие</w:t>
      </w:r>
      <w:r w:rsidR="00DD1130" w:rsidRPr="002F0EB4">
        <w:rPr>
          <w:spacing w:val="-6"/>
          <w:sz w:val="24"/>
          <w:szCs w:val="24"/>
        </w:rPr>
        <w:t xml:space="preserve"> причинения убытков обществу, его участникам, владельцам эмиссионных ценных бумаг общества и (или) иным лицам в результате их неосторожных действий (бездействия) в процессе осуществления своих полномочий.</w:t>
      </w:r>
    </w:p>
    <w:p w:rsidR="00DD1130" w:rsidRPr="002F0EB4" w:rsidRDefault="00DD1130" w:rsidP="006D6422">
      <w:pPr>
        <w:spacing w:line="360" w:lineRule="auto"/>
        <w:ind w:firstLine="425"/>
        <w:jc w:val="both"/>
        <w:rPr>
          <w:spacing w:val="-6"/>
          <w:sz w:val="24"/>
          <w:szCs w:val="24"/>
        </w:rPr>
      </w:pPr>
      <w:r w:rsidRPr="002F0EB4">
        <w:rPr>
          <w:spacing w:val="-6"/>
          <w:sz w:val="24"/>
          <w:szCs w:val="24"/>
        </w:rPr>
        <w:t xml:space="preserve">В обществе разработано и утверждено «Положение о </w:t>
      </w:r>
      <w:r w:rsidR="002A32BA" w:rsidRPr="002F0EB4">
        <w:rPr>
          <w:spacing w:val="-6"/>
          <w:sz w:val="24"/>
          <w:szCs w:val="24"/>
        </w:rPr>
        <w:t>корпоративном секретаре</w:t>
      </w:r>
      <w:r w:rsidRPr="002F0EB4">
        <w:rPr>
          <w:spacing w:val="-6"/>
          <w:sz w:val="24"/>
          <w:szCs w:val="24"/>
        </w:rPr>
        <w:t>»</w:t>
      </w:r>
      <w:r w:rsidR="003328C7" w:rsidRPr="002F0EB4">
        <w:rPr>
          <w:spacing w:val="-6"/>
          <w:sz w:val="24"/>
          <w:szCs w:val="24"/>
        </w:rPr>
        <w:t>, в штатное расписание введена должность и Советом директоров избран корпоративный секретарь общества.</w:t>
      </w:r>
    </w:p>
    <w:p w:rsidR="0044308A" w:rsidRPr="002F0EB4" w:rsidRDefault="0044308A" w:rsidP="006D6422">
      <w:pPr>
        <w:spacing w:line="360" w:lineRule="auto"/>
        <w:ind w:firstLine="425"/>
        <w:jc w:val="both"/>
        <w:rPr>
          <w:spacing w:val="-6"/>
          <w:sz w:val="24"/>
          <w:szCs w:val="24"/>
        </w:rPr>
      </w:pPr>
      <w:r w:rsidRPr="002F0EB4">
        <w:rPr>
          <w:spacing w:val="-6"/>
          <w:sz w:val="24"/>
          <w:szCs w:val="24"/>
        </w:rPr>
        <w:t>Разработано и утверждено «Положение о ревизионной комиссии общес</w:t>
      </w:r>
      <w:r w:rsidR="00E92EAC" w:rsidRPr="002F0EB4">
        <w:rPr>
          <w:spacing w:val="-6"/>
          <w:sz w:val="24"/>
          <w:szCs w:val="24"/>
        </w:rPr>
        <w:t>т</w:t>
      </w:r>
      <w:r w:rsidRPr="002F0EB4">
        <w:rPr>
          <w:spacing w:val="-6"/>
          <w:sz w:val="24"/>
          <w:szCs w:val="24"/>
        </w:rPr>
        <w:t>ва»</w:t>
      </w:r>
    </w:p>
    <w:p w:rsidR="004D6710" w:rsidRPr="002F0EB4" w:rsidRDefault="0044308A" w:rsidP="006D6422">
      <w:pPr>
        <w:spacing w:line="360" w:lineRule="auto"/>
        <w:ind w:firstLine="425"/>
        <w:jc w:val="both"/>
        <w:rPr>
          <w:spacing w:val="-6"/>
          <w:sz w:val="24"/>
          <w:szCs w:val="24"/>
        </w:rPr>
      </w:pPr>
      <w:r w:rsidRPr="002F0EB4">
        <w:rPr>
          <w:spacing w:val="-6"/>
          <w:sz w:val="24"/>
          <w:szCs w:val="24"/>
        </w:rPr>
        <w:t>Разработана обществом, у</w:t>
      </w:r>
      <w:r w:rsidR="00DD1130" w:rsidRPr="002F0EB4">
        <w:rPr>
          <w:spacing w:val="-6"/>
          <w:sz w:val="24"/>
          <w:szCs w:val="24"/>
        </w:rPr>
        <w:t>тверждена Советом директоров и внедрена «Система ключевых показателей эффективности деятельности</w:t>
      </w:r>
      <w:r w:rsidRPr="002F0EB4">
        <w:rPr>
          <w:spacing w:val="-6"/>
          <w:sz w:val="24"/>
          <w:szCs w:val="24"/>
        </w:rPr>
        <w:t xml:space="preserve"> общества</w:t>
      </w:r>
      <w:r w:rsidR="00DD1130" w:rsidRPr="002F0EB4">
        <w:rPr>
          <w:spacing w:val="-6"/>
          <w:sz w:val="24"/>
          <w:szCs w:val="24"/>
        </w:rPr>
        <w:t>».</w:t>
      </w:r>
      <w:r w:rsidR="003328C7" w:rsidRPr="002F0EB4">
        <w:rPr>
          <w:spacing w:val="-6"/>
          <w:sz w:val="24"/>
          <w:szCs w:val="24"/>
        </w:rPr>
        <w:t xml:space="preserve"> </w:t>
      </w:r>
      <w:r w:rsidRPr="002F0EB4">
        <w:rPr>
          <w:spacing w:val="-6"/>
          <w:sz w:val="24"/>
          <w:szCs w:val="24"/>
        </w:rPr>
        <w:t xml:space="preserve">Вознаграждение Членов Совета директоров и единоличного исполнительного органа напрямую зависит от выполнения ключевых показателей эффективности деятельности общества. </w:t>
      </w:r>
      <w:r w:rsidR="003328C7" w:rsidRPr="002F0EB4">
        <w:rPr>
          <w:spacing w:val="-6"/>
          <w:sz w:val="24"/>
          <w:szCs w:val="24"/>
        </w:rPr>
        <w:t xml:space="preserve">Ежегодно составляется и поступает на утверждение в Совет директоров бюджет общества на следующий финансовый год. В 2012 году обществом были разработаны и утверждены Советом директоров Долгосрочная </w:t>
      </w:r>
      <w:r w:rsidR="00227AA5" w:rsidRPr="002F0EB4">
        <w:rPr>
          <w:spacing w:val="-6"/>
          <w:sz w:val="24"/>
          <w:szCs w:val="24"/>
        </w:rPr>
        <w:t>(</w:t>
      </w:r>
      <w:r w:rsidR="004D6710" w:rsidRPr="002F0EB4">
        <w:rPr>
          <w:spacing w:val="-6"/>
          <w:sz w:val="24"/>
          <w:szCs w:val="24"/>
        </w:rPr>
        <w:t>на 2013-2022г.г.</w:t>
      </w:r>
      <w:r w:rsidR="00227AA5" w:rsidRPr="002F0EB4">
        <w:rPr>
          <w:spacing w:val="-6"/>
          <w:sz w:val="24"/>
          <w:szCs w:val="24"/>
        </w:rPr>
        <w:t>)</w:t>
      </w:r>
      <w:r w:rsidR="004D6710" w:rsidRPr="002F0EB4">
        <w:rPr>
          <w:spacing w:val="-6"/>
          <w:sz w:val="24"/>
          <w:szCs w:val="24"/>
        </w:rPr>
        <w:t xml:space="preserve"> и Среднесрочная </w:t>
      </w:r>
      <w:r w:rsidR="00227AA5" w:rsidRPr="002F0EB4">
        <w:rPr>
          <w:spacing w:val="-6"/>
          <w:sz w:val="24"/>
          <w:szCs w:val="24"/>
        </w:rPr>
        <w:t>(</w:t>
      </w:r>
      <w:r w:rsidR="004D6710" w:rsidRPr="002F0EB4">
        <w:rPr>
          <w:spacing w:val="-6"/>
          <w:sz w:val="24"/>
          <w:szCs w:val="24"/>
        </w:rPr>
        <w:t>на 2013-2017г.г.</w:t>
      </w:r>
      <w:r w:rsidR="00227AA5" w:rsidRPr="002F0EB4">
        <w:rPr>
          <w:spacing w:val="-6"/>
          <w:sz w:val="24"/>
          <w:szCs w:val="24"/>
        </w:rPr>
        <w:t>)</w:t>
      </w:r>
      <w:r w:rsidR="004D6710" w:rsidRPr="002F0EB4">
        <w:rPr>
          <w:spacing w:val="-6"/>
          <w:sz w:val="24"/>
          <w:szCs w:val="24"/>
        </w:rPr>
        <w:t xml:space="preserve"> стратегии развития Общества.</w:t>
      </w:r>
    </w:p>
    <w:p w:rsidR="006D6422" w:rsidRPr="002F0EB4" w:rsidRDefault="004D6710" w:rsidP="006D6422">
      <w:pPr>
        <w:spacing w:line="360" w:lineRule="auto"/>
        <w:ind w:firstLine="425"/>
        <w:jc w:val="both"/>
        <w:rPr>
          <w:spacing w:val="-6"/>
          <w:sz w:val="24"/>
          <w:szCs w:val="24"/>
        </w:rPr>
      </w:pPr>
      <w:r w:rsidRPr="002F0EB4">
        <w:rPr>
          <w:spacing w:val="-6"/>
          <w:sz w:val="24"/>
          <w:szCs w:val="24"/>
        </w:rPr>
        <w:t xml:space="preserve">Согласно поставленным целям в стратегиях развития Общества на </w:t>
      </w:r>
      <w:r w:rsidR="00227AA5" w:rsidRPr="002F0EB4">
        <w:rPr>
          <w:spacing w:val="-6"/>
          <w:sz w:val="24"/>
          <w:szCs w:val="24"/>
        </w:rPr>
        <w:t>2012-</w:t>
      </w:r>
      <w:r w:rsidRPr="002F0EB4">
        <w:rPr>
          <w:spacing w:val="-6"/>
          <w:sz w:val="24"/>
          <w:szCs w:val="24"/>
        </w:rPr>
        <w:t>2013г</w:t>
      </w:r>
      <w:r w:rsidR="00227AA5" w:rsidRPr="002F0EB4">
        <w:rPr>
          <w:spacing w:val="-6"/>
          <w:sz w:val="24"/>
          <w:szCs w:val="24"/>
        </w:rPr>
        <w:t>оды</w:t>
      </w:r>
      <w:r w:rsidRPr="002F0EB4">
        <w:rPr>
          <w:spacing w:val="-6"/>
          <w:sz w:val="24"/>
          <w:szCs w:val="24"/>
        </w:rPr>
        <w:t>, а так же утвержденн</w:t>
      </w:r>
      <w:r w:rsidR="00227AA5" w:rsidRPr="002F0EB4">
        <w:rPr>
          <w:spacing w:val="-6"/>
          <w:sz w:val="24"/>
          <w:szCs w:val="24"/>
        </w:rPr>
        <w:t>ых</w:t>
      </w:r>
      <w:r w:rsidRPr="002F0EB4">
        <w:rPr>
          <w:spacing w:val="-6"/>
          <w:sz w:val="24"/>
          <w:szCs w:val="24"/>
        </w:rPr>
        <w:t xml:space="preserve"> Советом Директоров бюджет</w:t>
      </w:r>
      <w:r w:rsidR="00227AA5" w:rsidRPr="002F0EB4">
        <w:rPr>
          <w:spacing w:val="-6"/>
          <w:sz w:val="24"/>
          <w:szCs w:val="24"/>
        </w:rPr>
        <w:t>ах</w:t>
      </w:r>
      <w:r w:rsidRPr="002F0EB4">
        <w:rPr>
          <w:spacing w:val="-6"/>
          <w:sz w:val="24"/>
          <w:szCs w:val="24"/>
        </w:rPr>
        <w:t xml:space="preserve"> на </w:t>
      </w:r>
      <w:r w:rsidR="00227AA5" w:rsidRPr="002F0EB4">
        <w:rPr>
          <w:spacing w:val="-6"/>
          <w:sz w:val="24"/>
          <w:szCs w:val="24"/>
        </w:rPr>
        <w:t>2012-2013 годы</w:t>
      </w:r>
      <w:r w:rsidRPr="002F0EB4">
        <w:rPr>
          <w:spacing w:val="-6"/>
          <w:sz w:val="24"/>
          <w:szCs w:val="24"/>
        </w:rPr>
        <w:t xml:space="preserve">, </w:t>
      </w:r>
      <w:r w:rsidR="004E502A" w:rsidRPr="002F0EB4">
        <w:rPr>
          <w:spacing w:val="-6"/>
          <w:sz w:val="24"/>
          <w:szCs w:val="24"/>
        </w:rPr>
        <w:t>обществом</w:t>
      </w:r>
      <w:r w:rsidRPr="002F0EB4">
        <w:rPr>
          <w:spacing w:val="-6"/>
          <w:sz w:val="24"/>
          <w:szCs w:val="24"/>
        </w:rPr>
        <w:t xml:space="preserve"> выполнены ключевые показатели финансовой эффективности деятельности Общества. Данные представлены в таблице</w:t>
      </w:r>
      <w:r w:rsidR="004D6D86" w:rsidRPr="002F0EB4">
        <w:rPr>
          <w:spacing w:val="-6"/>
          <w:sz w:val="24"/>
          <w:szCs w:val="24"/>
        </w:rPr>
        <w:t> </w:t>
      </w:r>
      <w:r w:rsidR="004E502A" w:rsidRPr="002F0EB4">
        <w:rPr>
          <w:spacing w:val="-6"/>
          <w:sz w:val="24"/>
          <w:szCs w:val="24"/>
        </w:rPr>
        <w:t>1</w:t>
      </w:r>
      <w:r w:rsidRPr="002F0EB4">
        <w:rPr>
          <w:spacing w:val="-6"/>
          <w:sz w:val="24"/>
          <w:szCs w:val="24"/>
        </w:rPr>
        <w:t>.</w:t>
      </w:r>
      <w:r w:rsidR="006D6422" w:rsidRPr="002F0EB4">
        <w:rPr>
          <w:spacing w:val="-6"/>
          <w:sz w:val="24"/>
          <w:szCs w:val="24"/>
        </w:rPr>
        <w:t xml:space="preserve"> </w:t>
      </w:r>
    </w:p>
    <w:p w:rsidR="006D6422" w:rsidRPr="002F0EB4" w:rsidRDefault="006D6422" w:rsidP="006D6422">
      <w:pPr>
        <w:spacing w:line="360" w:lineRule="auto"/>
        <w:ind w:firstLine="425"/>
        <w:jc w:val="both"/>
        <w:rPr>
          <w:spacing w:val="-6"/>
          <w:sz w:val="24"/>
          <w:szCs w:val="24"/>
        </w:rPr>
      </w:pPr>
      <w:r w:rsidRPr="002F0EB4">
        <w:rPr>
          <w:spacing w:val="-6"/>
          <w:sz w:val="24"/>
          <w:szCs w:val="24"/>
        </w:rPr>
        <w:t xml:space="preserve">В Совет директоров </w:t>
      </w:r>
      <w:r w:rsidR="00227AA5" w:rsidRPr="002F0EB4">
        <w:rPr>
          <w:spacing w:val="-6"/>
          <w:sz w:val="24"/>
          <w:szCs w:val="24"/>
        </w:rPr>
        <w:t>ежеквартально</w:t>
      </w:r>
      <w:r w:rsidRPr="002F0EB4">
        <w:rPr>
          <w:spacing w:val="-6"/>
          <w:sz w:val="24"/>
          <w:szCs w:val="24"/>
        </w:rPr>
        <w:t xml:space="preserve"> представляются отчеты об исполнении бюджета  общества, о выполнении ключевых показателей эффективности деятельности общества, об исполнении стратегии общества и.т.д</w:t>
      </w:r>
      <w:r w:rsidR="00227AA5" w:rsidRPr="002F0EB4">
        <w:rPr>
          <w:spacing w:val="-6"/>
          <w:sz w:val="24"/>
          <w:szCs w:val="24"/>
        </w:rPr>
        <w:t>. За период 2012-2014 годы все отчеты приняты Советом директоров без замечаний.</w:t>
      </w:r>
    </w:p>
    <w:p w:rsidR="006D6422" w:rsidRDefault="0080557A" w:rsidP="006D6422">
      <w:pPr>
        <w:ind w:firstLine="425"/>
        <w:jc w:val="right"/>
        <w:rPr>
          <w:sz w:val="24"/>
          <w:szCs w:val="24"/>
        </w:rPr>
      </w:pPr>
      <w:r>
        <w:rPr>
          <w:noProof/>
          <w:lang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-354965</wp:posOffset>
                </wp:positionH>
                <wp:positionV relativeFrom="paragraph">
                  <wp:posOffset>273685</wp:posOffset>
                </wp:positionV>
                <wp:extent cx="6576695" cy="4784090"/>
                <wp:effectExtent l="2540" t="0" r="254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78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0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7"/>
                              <w:gridCol w:w="1883"/>
                              <w:gridCol w:w="1418"/>
                              <w:gridCol w:w="1275"/>
                              <w:gridCol w:w="1276"/>
                              <w:gridCol w:w="1134"/>
                              <w:gridCol w:w="1276"/>
                              <w:gridCol w:w="1418"/>
                            </w:tblGrid>
                            <w:tr w:rsidR="00DA39BD" w:rsidRPr="004D6710" w:rsidTr="002F0EB4">
                              <w:tblPrEx>
                                <w:tblCellMar>
                                  <w:top w:w="0" w:type="dxa"/>
                                  <w:bottom w:w="0" w:type="dxa"/>
                                </w:tblCellMar>
                              </w:tblPrEx>
                              <w:trPr>
                                <w:trHeight w:hRule="exact" w:val="1859"/>
                              </w:trPr>
                              <w:tc>
                                <w:tcPr>
                                  <w:tcW w:w="527"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62"/>
                                    <w:rPr>
                                      <w:rFonts w:eastAsia="Times New Roman"/>
                                      <w:sz w:val="20"/>
                                      <w:szCs w:val="20"/>
                                      <w:lang w:eastAsia="ru-RU"/>
                                    </w:rPr>
                                  </w:pPr>
                                  <w:r w:rsidRPr="00DA39BD">
                                    <w:rPr>
                                      <w:rFonts w:eastAsia="Times New Roman"/>
                                      <w:sz w:val="20"/>
                                      <w:szCs w:val="20"/>
                                      <w:lang w:eastAsia="ru-RU"/>
                                    </w:rPr>
                                    <w:t>№ п/п</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pacing w:val="-2"/>
                                      <w:sz w:val="20"/>
                                      <w:szCs w:val="20"/>
                                      <w:lang w:eastAsia="ru-RU"/>
                                    </w:rPr>
                                    <w:t xml:space="preserve">Наименование </w:t>
                                  </w:r>
                                  <w:r w:rsidRPr="00DA39BD">
                                    <w:rPr>
                                      <w:rFonts w:eastAsia="Times New Roman"/>
                                      <w:sz w:val="20"/>
                                      <w:szCs w:val="20"/>
                                      <w:lang w:eastAsia="ru-RU"/>
                                    </w:rPr>
                                    <w:t>показателя</w:t>
                                  </w:r>
                                </w:p>
                              </w:tc>
                              <w:tc>
                                <w:tcPr>
                                  <w:tcW w:w="1418"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3"/>
                                      <w:sz w:val="20"/>
                                      <w:szCs w:val="20"/>
                                      <w:lang w:eastAsia="ru-RU"/>
                                    </w:rPr>
                                    <w:t>Утвержденное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Советом</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1"/>
                                      <w:sz w:val="20"/>
                                      <w:szCs w:val="20"/>
                                      <w:lang w:eastAsia="ru-RU"/>
                                    </w:rPr>
                                    <w:t>Директоров</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значение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2"/>
                                      <w:sz w:val="20"/>
                                      <w:szCs w:val="20"/>
                                      <w:lang w:eastAsia="ru-RU"/>
                                    </w:rPr>
                                    <w:t>показателя</w:t>
                                  </w:r>
                                </w:p>
                              </w:tc>
                              <w:tc>
                                <w:tcPr>
                                  <w:tcW w:w="1275" w:type="dxa"/>
                                  <w:tcBorders>
                                    <w:left w:val="single" w:sz="4" w:space="0" w:color="auto"/>
                                    <w:right w:val="single" w:sz="4" w:space="0" w:color="auto"/>
                                  </w:tcBorders>
                                  <w:shd w:val="clear" w:color="auto" w:fill="FFFFFF"/>
                                </w:tcPr>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Pr>
                                      <w:rFonts w:eastAsia="Times New Roman"/>
                                      <w:sz w:val="20"/>
                                      <w:szCs w:val="20"/>
                                      <w:lang w:eastAsia="ru-RU"/>
                                    </w:rPr>
                                    <w:t>Плановое значение показателя на 2012 год (первоначальное)</w:t>
                                  </w:r>
                                </w:p>
                              </w:tc>
                              <w:tc>
                                <w:tcPr>
                                  <w:tcW w:w="1276" w:type="dxa"/>
                                  <w:tcBorders>
                                    <w:left w:val="single" w:sz="4" w:space="0" w:color="auto"/>
                                  </w:tcBorders>
                                  <w:shd w:val="clear" w:color="auto" w:fill="FFFFFF"/>
                                </w:tcPr>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Pr>
                                      <w:rFonts w:eastAsia="Times New Roman"/>
                                      <w:sz w:val="20"/>
                                      <w:szCs w:val="20"/>
                                      <w:lang w:eastAsia="ru-RU"/>
                                    </w:rPr>
                                    <w:t>Фактическое значение показателя по состоянию</w:t>
                                  </w:r>
                                  <w:r w:rsidR="002F0EB4" w:rsidRPr="002F0EB4">
                                    <w:rPr>
                                      <w:rFonts w:eastAsia="Times New Roman"/>
                                      <w:sz w:val="20"/>
                                      <w:szCs w:val="20"/>
                                      <w:lang w:eastAsia="ru-RU"/>
                                    </w:rPr>
                                    <w:t xml:space="preserve"> </w:t>
                                  </w:r>
                                  <w:r>
                                    <w:rPr>
                                      <w:rFonts w:eastAsia="Times New Roman"/>
                                      <w:sz w:val="20"/>
                                      <w:szCs w:val="20"/>
                                      <w:lang w:eastAsia="ru-RU"/>
                                    </w:rPr>
                                    <w:t>на 31.12.2012 год</w:t>
                                  </w:r>
                                </w:p>
                              </w:tc>
                              <w:tc>
                                <w:tcPr>
                                  <w:tcW w:w="1134" w:type="dxa"/>
                                  <w:shd w:val="clear" w:color="auto" w:fill="FFFFFF"/>
                                </w:tcPr>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4"/>
                                      <w:sz w:val="20"/>
                                      <w:szCs w:val="20"/>
                                      <w:lang w:eastAsia="ru-RU"/>
                                    </w:rPr>
                                    <w:t xml:space="preserve">Плановое </w:t>
                                  </w:r>
                                  <w:r w:rsidRPr="00DA39BD">
                                    <w:rPr>
                                      <w:rFonts w:eastAsia="Times New Roman"/>
                                      <w:spacing w:val="-2"/>
                                      <w:sz w:val="20"/>
                                      <w:szCs w:val="20"/>
                                      <w:lang w:eastAsia="ru-RU"/>
                                    </w:rPr>
                                    <w:t>значение</w:t>
                                  </w:r>
                                </w:p>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4"/>
                                      <w:sz w:val="20"/>
                                      <w:szCs w:val="20"/>
                                      <w:lang w:eastAsia="ru-RU"/>
                                    </w:rPr>
                                    <w:t xml:space="preserve">показателя </w:t>
                                  </w:r>
                                  <w:r w:rsidRPr="00DA39BD">
                                    <w:rPr>
                                      <w:rFonts w:eastAsia="Times New Roman"/>
                                      <w:spacing w:val="-2"/>
                                      <w:sz w:val="20"/>
                                      <w:szCs w:val="20"/>
                                      <w:lang w:eastAsia="ru-RU"/>
                                    </w:rPr>
                                    <w:t>согласно</w:t>
                                  </w:r>
                                </w:p>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3"/>
                                      <w:sz w:val="20"/>
                                      <w:szCs w:val="20"/>
                                      <w:lang w:eastAsia="ru-RU"/>
                                    </w:rPr>
                                    <w:t xml:space="preserve">стратегии на </w:t>
                                  </w:r>
                                  <w:r w:rsidRPr="00DA39BD">
                                    <w:rPr>
                                      <w:rFonts w:eastAsia="Times New Roman"/>
                                      <w:sz w:val="20"/>
                                      <w:szCs w:val="20"/>
                                      <w:lang w:eastAsia="ru-RU"/>
                                    </w:rPr>
                                    <w:t>2013г.</w:t>
                                  </w:r>
                                </w:p>
                              </w:tc>
                              <w:tc>
                                <w:tcPr>
                                  <w:tcW w:w="1276"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Плановое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значение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показателя</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согласно</w:t>
                                  </w:r>
                                </w:p>
                                <w:p w:rsidR="00DA39BD" w:rsidRPr="00DA39BD" w:rsidRDefault="00DA39BD" w:rsidP="002F0EB4">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3"/>
                                      <w:sz w:val="20"/>
                                      <w:szCs w:val="20"/>
                                      <w:lang w:eastAsia="ru-RU"/>
                                    </w:rPr>
                                    <w:t>бюджету на</w:t>
                                  </w:r>
                                  <w:r w:rsidR="002F0EB4">
                                    <w:rPr>
                                      <w:rFonts w:eastAsia="Times New Roman"/>
                                      <w:spacing w:val="-3"/>
                                      <w:sz w:val="20"/>
                                      <w:szCs w:val="20"/>
                                      <w:lang w:val="en-US" w:eastAsia="ru-RU"/>
                                    </w:rPr>
                                    <w:t xml:space="preserve"> </w:t>
                                  </w:r>
                                  <w:r w:rsidRPr="00DA39BD">
                                    <w:rPr>
                                      <w:rFonts w:eastAsia="Times New Roman"/>
                                      <w:sz w:val="20"/>
                                      <w:szCs w:val="20"/>
                                      <w:lang w:eastAsia="ru-RU"/>
                                    </w:rPr>
                                    <w:t>2013г.</w:t>
                                  </w:r>
                                </w:p>
                              </w:tc>
                              <w:tc>
                                <w:tcPr>
                                  <w:tcW w:w="1418" w:type="dxa"/>
                                  <w:shd w:val="clear" w:color="auto" w:fill="FFFFFF"/>
                                </w:tcPr>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2"/>
                                      <w:sz w:val="20"/>
                                      <w:szCs w:val="20"/>
                                      <w:lang w:eastAsia="ru-RU"/>
                                    </w:rPr>
                                    <w:t>Фактическое</w:t>
                                  </w:r>
                                </w:p>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z w:val="20"/>
                                      <w:szCs w:val="20"/>
                                      <w:lang w:eastAsia="ru-RU"/>
                                    </w:rPr>
                                    <w:t>значение</w:t>
                                  </w:r>
                                </w:p>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4"/>
                                      <w:sz w:val="20"/>
                                      <w:szCs w:val="20"/>
                                      <w:lang w:eastAsia="ru-RU"/>
                                    </w:rPr>
                                    <w:t>показателя по</w:t>
                                  </w:r>
                                  <w:r w:rsidR="002F0EB4">
                                    <w:rPr>
                                      <w:rFonts w:eastAsia="Times New Roman"/>
                                      <w:spacing w:val="-4"/>
                                      <w:sz w:val="20"/>
                                      <w:szCs w:val="20"/>
                                      <w:lang w:val="en-US" w:eastAsia="ru-RU"/>
                                    </w:rPr>
                                    <w:t xml:space="preserve"> </w:t>
                                  </w:r>
                                  <w:r w:rsidRPr="00DA39BD">
                                    <w:rPr>
                                      <w:rFonts w:eastAsia="Times New Roman"/>
                                      <w:spacing w:val="-3"/>
                                      <w:sz w:val="20"/>
                                      <w:szCs w:val="20"/>
                                      <w:lang w:eastAsia="ru-RU"/>
                                    </w:rPr>
                                    <w:t>состоянию на</w:t>
                                  </w:r>
                                </w:p>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3"/>
                                      <w:sz w:val="20"/>
                                      <w:szCs w:val="20"/>
                                      <w:lang w:eastAsia="ru-RU"/>
                                    </w:rPr>
                                    <w:t>31.12.2013г.</w:t>
                                  </w:r>
                                </w:p>
                              </w:tc>
                            </w:tr>
                            <w:tr w:rsidR="00DA39BD" w:rsidRPr="004D6710" w:rsidTr="002F0EB4">
                              <w:tblPrEx>
                                <w:tblCellMar>
                                  <w:top w:w="0" w:type="dxa"/>
                                  <w:bottom w:w="0" w:type="dxa"/>
                                </w:tblCellMar>
                              </w:tblPrEx>
                              <w:trPr>
                                <w:trHeight w:hRule="exact" w:val="1090"/>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z w:val="20"/>
                                      <w:szCs w:val="20"/>
                                      <w:lang w:eastAsia="ru-RU"/>
                                    </w:rPr>
                                    <w:t>Рентабельность собственного капитала по чистой прибыли (</w:t>
                                  </w:r>
                                  <w:r w:rsidRPr="00DA39BD">
                                    <w:rPr>
                                      <w:rFonts w:eastAsia="Times New Roman"/>
                                      <w:sz w:val="20"/>
                                      <w:szCs w:val="20"/>
                                      <w:lang w:val="en-US" w:eastAsia="ru-RU"/>
                                    </w:rPr>
                                    <w:t>ROE</w:t>
                                  </w:r>
                                  <w:r w:rsidRPr="00DA39BD">
                                    <w:rPr>
                                      <w:rFonts w:eastAsia="Times New Roman"/>
                                      <w:sz w:val="20"/>
                                      <w:szCs w:val="20"/>
                                      <w:lang w:eastAsia="ru-RU"/>
                                    </w:rPr>
                                    <w:t>)</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менее 5%</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5%</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14%</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14%</w:t>
                                  </w:r>
                                </w:p>
                              </w:tc>
                            </w:tr>
                            <w:tr w:rsidR="00DA39BD" w:rsidRPr="004D6710" w:rsidTr="002F0EB4">
                              <w:tblPrEx>
                                <w:tblCellMar>
                                  <w:top w:w="0" w:type="dxa"/>
                                  <w:bottom w:w="0" w:type="dxa"/>
                                </w:tblCellMar>
                              </w:tblPrEx>
                              <w:trPr>
                                <w:trHeight w:hRule="exact" w:val="581"/>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2</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88" w:lineRule="exact"/>
                                    <w:ind w:right="102"/>
                                    <w:rPr>
                                      <w:rFonts w:eastAsia="Times New Roman"/>
                                      <w:sz w:val="20"/>
                                      <w:szCs w:val="20"/>
                                      <w:lang w:eastAsia="ru-RU"/>
                                    </w:rPr>
                                  </w:pPr>
                                  <w:r w:rsidRPr="00DA39BD">
                                    <w:rPr>
                                      <w:rFonts w:eastAsia="Times New Roman"/>
                                      <w:sz w:val="20"/>
                                      <w:szCs w:val="20"/>
                                      <w:lang w:eastAsia="ru-RU"/>
                                    </w:rPr>
                                    <w:t>Рентабельность продаж (РП)</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менее 5%</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22%</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20,5%</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15%</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16%</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21%</w:t>
                                  </w:r>
                                </w:p>
                              </w:tc>
                            </w:tr>
                            <w:tr w:rsidR="00DA39BD" w:rsidRPr="004D6710" w:rsidTr="002F0EB4">
                              <w:tblPrEx>
                                <w:tblCellMar>
                                  <w:top w:w="0" w:type="dxa"/>
                                  <w:bottom w:w="0" w:type="dxa"/>
                                </w:tblCellMar>
                              </w:tblPrEx>
                              <w:trPr>
                                <w:trHeight w:hRule="exact" w:val="835"/>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3</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z w:val="20"/>
                                      <w:szCs w:val="20"/>
                                      <w:lang w:eastAsia="ru-RU"/>
                                    </w:rPr>
                                    <w:t xml:space="preserve">Коэффициент текущей </w:t>
                                  </w:r>
                                  <w:r w:rsidRPr="00DA39BD">
                                    <w:rPr>
                                      <w:rFonts w:eastAsia="Times New Roman"/>
                                      <w:spacing w:val="-2"/>
                                      <w:sz w:val="20"/>
                                      <w:szCs w:val="20"/>
                                      <w:lang w:eastAsia="ru-RU"/>
                                    </w:rPr>
                                    <w:t>ликвидности (КТЛ)</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менее 0,7</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0,8</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1,4</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0,94</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1,78</w:t>
                                  </w:r>
                                </w:p>
                              </w:tc>
                            </w:tr>
                            <w:tr w:rsidR="00DA39BD" w:rsidRPr="004D6710" w:rsidTr="002F0EB4">
                              <w:tblPrEx>
                                <w:tblCellMar>
                                  <w:top w:w="0" w:type="dxa"/>
                                  <w:bottom w:w="0" w:type="dxa"/>
                                </w:tblCellMar>
                              </w:tblPrEx>
                              <w:trPr>
                                <w:trHeight w:hRule="exact" w:val="1373"/>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4</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74" w:lineRule="exact"/>
                                    <w:ind w:right="102"/>
                                    <w:rPr>
                                      <w:rFonts w:eastAsia="Times New Roman"/>
                                      <w:sz w:val="20"/>
                                      <w:szCs w:val="20"/>
                                      <w:lang w:eastAsia="ru-RU"/>
                                    </w:rPr>
                                  </w:pPr>
                                  <w:r w:rsidRPr="00DA39BD">
                                    <w:rPr>
                                      <w:rFonts w:eastAsia="Times New Roman"/>
                                      <w:sz w:val="20"/>
                                      <w:szCs w:val="20"/>
                                      <w:lang w:eastAsia="ru-RU"/>
                                    </w:rPr>
                                    <w:t>Коэффициент соотношения заемных  и собственных средств (КЗС)</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более 0,7</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spacing w:line="221" w:lineRule="exact"/>
                                    <w:jc w:val="center"/>
                                    <w:rPr>
                                      <w:rFonts w:eastAsia="Times New Roman"/>
                                      <w:sz w:val="20"/>
                                      <w:szCs w:val="20"/>
                                      <w:lang w:eastAsia="ru-RU"/>
                                    </w:rPr>
                                  </w:pPr>
                                  <w:r>
                                    <w:rPr>
                                      <w:rFonts w:eastAsia="Times New Roman"/>
                                      <w:sz w:val="20"/>
                                      <w:szCs w:val="20"/>
                                      <w:lang w:eastAsia="ru-RU"/>
                                    </w:rPr>
                                    <w:t>0,45</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spacing w:line="221" w:lineRule="exact"/>
                                    <w:jc w:val="center"/>
                                    <w:rPr>
                                      <w:rFonts w:eastAsia="Times New Roman"/>
                                      <w:sz w:val="20"/>
                                      <w:szCs w:val="20"/>
                                      <w:lang w:eastAsia="ru-RU"/>
                                    </w:rPr>
                                  </w:pPr>
                                  <w:r>
                                    <w:rPr>
                                      <w:rFonts w:eastAsia="Times New Roman"/>
                                      <w:sz w:val="20"/>
                                      <w:szCs w:val="20"/>
                                      <w:lang w:eastAsia="ru-RU"/>
                                    </w:rPr>
                                    <w:t>0,25</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spacing w:line="221" w:lineRule="exact"/>
                                    <w:jc w:val="center"/>
                                    <w:rPr>
                                      <w:rFonts w:eastAsia="Times New Roman"/>
                                      <w:sz w:val="20"/>
                                      <w:szCs w:val="20"/>
                                      <w:lang w:eastAsia="ru-RU"/>
                                    </w:rPr>
                                  </w:pPr>
                                  <w:r w:rsidRPr="00DA39BD">
                                    <w:rPr>
                                      <w:rFonts w:eastAsia="Times New Roman"/>
                                      <w:sz w:val="20"/>
                                      <w:szCs w:val="20"/>
                                      <w:lang w:eastAsia="ru-RU"/>
                                    </w:rPr>
                                    <w:t>0,2</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0,2</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0,2</w:t>
                                  </w:r>
                                </w:p>
                              </w:tc>
                            </w:tr>
                            <w:tr w:rsidR="00DA39BD" w:rsidRPr="004D6710" w:rsidTr="002F0EB4">
                              <w:tblPrEx>
                                <w:tblCellMar>
                                  <w:top w:w="0" w:type="dxa"/>
                                  <w:bottom w:w="0" w:type="dxa"/>
                                </w:tblCellMar>
                              </w:tblPrEx>
                              <w:trPr>
                                <w:trHeight w:hRule="exact" w:val="581"/>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5</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z w:val="20"/>
                                      <w:szCs w:val="20"/>
                                      <w:lang w:eastAsia="ru-RU"/>
                                    </w:rPr>
                                    <w:t xml:space="preserve">Коэффициент </w:t>
                                  </w:r>
                                  <w:r w:rsidRPr="00DA39BD">
                                    <w:rPr>
                                      <w:rFonts w:eastAsia="Times New Roman"/>
                                      <w:spacing w:val="-3"/>
                                      <w:sz w:val="20"/>
                                      <w:szCs w:val="20"/>
                                      <w:lang w:eastAsia="ru-RU"/>
                                    </w:rPr>
                                    <w:t>автономии (КА)</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5"/>
                                      <w:sz w:val="20"/>
                                      <w:szCs w:val="20"/>
                                      <w:lang w:eastAsia="ru-RU"/>
                                    </w:rPr>
                                    <w:t>не менее 0,5</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0,68</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0,8</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0,82</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0,82</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0,82</w:t>
                                  </w:r>
                                </w:p>
                              </w:tc>
                            </w:tr>
                            <w:tr w:rsidR="00DA39BD" w:rsidRPr="004D6710" w:rsidTr="002F0EB4">
                              <w:tblPrEx>
                                <w:tblCellMar>
                                  <w:top w:w="0" w:type="dxa"/>
                                  <w:bottom w:w="0" w:type="dxa"/>
                                </w:tblCellMar>
                              </w:tblPrEx>
                              <w:trPr>
                                <w:trHeight w:hRule="exact" w:val="850"/>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6</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88" w:lineRule="exact"/>
                                    <w:ind w:right="102"/>
                                    <w:rPr>
                                      <w:rFonts w:eastAsia="Times New Roman"/>
                                      <w:sz w:val="20"/>
                                      <w:szCs w:val="20"/>
                                      <w:lang w:eastAsia="ru-RU"/>
                                    </w:rPr>
                                  </w:pPr>
                                  <w:r w:rsidRPr="00DA39BD">
                                    <w:rPr>
                                      <w:rFonts w:eastAsia="Times New Roman"/>
                                      <w:sz w:val="20"/>
                                      <w:szCs w:val="20"/>
                                      <w:lang w:eastAsia="ru-RU"/>
                                    </w:rPr>
                                    <w:t>Снижение затрат на единицу продукции (3)</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spacing w:line="269" w:lineRule="exact"/>
                                    <w:ind w:right="43"/>
                                    <w:jc w:val="center"/>
                                    <w:rPr>
                                      <w:rFonts w:eastAsia="Times New Roman"/>
                                      <w:sz w:val="20"/>
                                      <w:szCs w:val="20"/>
                                      <w:lang w:eastAsia="ru-RU"/>
                                    </w:rPr>
                                  </w:pPr>
                                  <w:r w:rsidRPr="00DA39BD">
                                    <w:rPr>
                                      <w:rFonts w:eastAsia="Times New Roman"/>
                                      <w:spacing w:val="-4"/>
                                      <w:sz w:val="20"/>
                                      <w:szCs w:val="20"/>
                                      <w:lang w:eastAsia="ru-RU"/>
                                    </w:rPr>
                                    <w:t xml:space="preserve">не менее 10% </w:t>
                                  </w:r>
                                  <w:r w:rsidRPr="00DA39BD">
                                    <w:rPr>
                                      <w:rFonts w:eastAsia="Times New Roman"/>
                                      <w:sz w:val="20"/>
                                      <w:szCs w:val="20"/>
                                      <w:lang w:eastAsia="ru-RU"/>
                                    </w:rPr>
                                    <w:t>в год</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10%</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11%</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13%</w:t>
                                  </w:r>
                                </w:p>
                              </w:tc>
                            </w:tr>
                          </w:tbl>
                          <w:p w:rsidR="006D6422" w:rsidRDefault="006D6422" w:rsidP="006D64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5pt;margin-top:21.55pt;width:517.85pt;height:3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QfzwIAAMA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" filled="f" stroked="f">
                <v:textbox>
                  <w:txbxContent>
                    <w:tbl>
                      <w:tblPr>
                        <w:tblW w:w="1020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7"/>
                        <w:gridCol w:w="1883"/>
                        <w:gridCol w:w="1418"/>
                        <w:gridCol w:w="1275"/>
                        <w:gridCol w:w="1276"/>
                        <w:gridCol w:w="1134"/>
                        <w:gridCol w:w="1276"/>
                        <w:gridCol w:w="1418"/>
                      </w:tblGrid>
                      <w:tr w:rsidR="00DA39BD" w:rsidRPr="004D6710" w:rsidTr="002F0EB4">
                        <w:tblPrEx>
                          <w:tblCellMar>
                            <w:top w:w="0" w:type="dxa"/>
                            <w:bottom w:w="0" w:type="dxa"/>
                          </w:tblCellMar>
                        </w:tblPrEx>
                        <w:trPr>
                          <w:trHeight w:hRule="exact" w:val="1859"/>
                        </w:trPr>
                        <w:tc>
                          <w:tcPr>
                            <w:tcW w:w="527"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62"/>
                              <w:rPr>
                                <w:rFonts w:eastAsia="Times New Roman"/>
                                <w:sz w:val="20"/>
                                <w:szCs w:val="20"/>
                                <w:lang w:eastAsia="ru-RU"/>
                              </w:rPr>
                            </w:pPr>
                            <w:r w:rsidRPr="00DA39BD">
                              <w:rPr>
                                <w:rFonts w:eastAsia="Times New Roman"/>
                                <w:sz w:val="20"/>
                                <w:szCs w:val="20"/>
                                <w:lang w:eastAsia="ru-RU"/>
                              </w:rPr>
                              <w:t>№ п/п</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pacing w:val="-2"/>
                                <w:sz w:val="20"/>
                                <w:szCs w:val="20"/>
                                <w:lang w:eastAsia="ru-RU"/>
                              </w:rPr>
                              <w:t xml:space="preserve">Наименование </w:t>
                            </w:r>
                            <w:r w:rsidRPr="00DA39BD">
                              <w:rPr>
                                <w:rFonts w:eastAsia="Times New Roman"/>
                                <w:sz w:val="20"/>
                                <w:szCs w:val="20"/>
                                <w:lang w:eastAsia="ru-RU"/>
                              </w:rPr>
                              <w:t>показателя</w:t>
                            </w:r>
                          </w:p>
                        </w:tc>
                        <w:tc>
                          <w:tcPr>
                            <w:tcW w:w="1418"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3"/>
                                <w:sz w:val="20"/>
                                <w:szCs w:val="20"/>
                                <w:lang w:eastAsia="ru-RU"/>
                              </w:rPr>
                              <w:t>Утвержденное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Советом</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1"/>
                                <w:sz w:val="20"/>
                                <w:szCs w:val="20"/>
                                <w:lang w:eastAsia="ru-RU"/>
                              </w:rPr>
                              <w:t>Директоров</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значение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2"/>
                                <w:sz w:val="20"/>
                                <w:szCs w:val="20"/>
                                <w:lang w:eastAsia="ru-RU"/>
                              </w:rPr>
                              <w:t>показателя</w:t>
                            </w:r>
                          </w:p>
                        </w:tc>
                        <w:tc>
                          <w:tcPr>
                            <w:tcW w:w="1275" w:type="dxa"/>
                            <w:tcBorders>
                              <w:left w:val="single" w:sz="4" w:space="0" w:color="auto"/>
                              <w:right w:val="single" w:sz="4" w:space="0" w:color="auto"/>
                            </w:tcBorders>
                            <w:shd w:val="clear" w:color="auto" w:fill="FFFFFF"/>
                          </w:tcPr>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Pr>
                                <w:rFonts w:eastAsia="Times New Roman"/>
                                <w:sz w:val="20"/>
                                <w:szCs w:val="20"/>
                                <w:lang w:eastAsia="ru-RU"/>
                              </w:rPr>
                              <w:t>Плановое значение показателя на 2012 год (первоначальное)</w:t>
                            </w:r>
                          </w:p>
                        </w:tc>
                        <w:tc>
                          <w:tcPr>
                            <w:tcW w:w="1276" w:type="dxa"/>
                            <w:tcBorders>
                              <w:left w:val="single" w:sz="4" w:space="0" w:color="auto"/>
                            </w:tcBorders>
                            <w:shd w:val="clear" w:color="auto" w:fill="FFFFFF"/>
                          </w:tcPr>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Pr>
                                <w:rFonts w:eastAsia="Times New Roman"/>
                                <w:sz w:val="20"/>
                                <w:szCs w:val="20"/>
                                <w:lang w:eastAsia="ru-RU"/>
                              </w:rPr>
                              <w:t>Фактическое значение показателя по состоянию</w:t>
                            </w:r>
                            <w:r w:rsidR="002F0EB4" w:rsidRPr="002F0EB4">
                              <w:rPr>
                                <w:rFonts w:eastAsia="Times New Roman"/>
                                <w:sz w:val="20"/>
                                <w:szCs w:val="20"/>
                                <w:lang w:eastAsia="ru-RU"/>
                              </w:rPr>
                              <w:t xml:space="preserve"> </w:t>
                            </w:r>
                            <w:r>
                              <w:rPr>
                                <w:rFonts w:eastAsia="Times New Roman"/>
                                <w:sz w:val="20"/>
                                <w:szCs w:val="20"/>
                                <w:lang w:eastAsia="ru-RU"/>
                              </w:rPr>
                              <w:t>на 31.12.2012 год</w:t>
                            </w:r>
                          </w:p>
                        </w:tc>
                        <w:tc>
                          <w:tcPr>
                            <w:tcW w:w="1134" w:type="dxa"/>
                            <w:shd w:val="clear" w:color="auto" w:fill="FFFFFF"/>
                          </w:tcPr>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4"/>
                                <w:sz w:val="20"/>
                                <w:szCs w:val="20"/>
                                <w:lang w:eastAsia="ru-RU"/>
                              </w:rPr>
                              <w:t xml:space="preserve">Плановое </w:t>
                            </w:r>
                            <w:r w:rsidRPr="00DA39BD">
                              <w:rPr>
                                <w:rFonts w:eastAsia="Times New Roman"/>
                                <w:spacing w:val="-2"/>
                                <w:sz w:val="20"/>
                                <w:szCs w:val="20"/>
                                <w:lang w:eastAsia="ru-RU"/>
                              </w:rPr>
                              <w:t>значение</w:t>
                            </w:r>
                          </w:p>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4"/>
                                <w:sz w:val="20"/>
                                <w:szCs w:val="20"/>
                                <w:lang w:eastAsia="ru-RU"/>
                              </w:rPr>
                              <w:t xml:space="preserve">показателя </w:t>
                            </w:r>
                            <w:r w:rsidRPr="00DA39BD">
                              <w:rPr>
                                <w:rFonts w:eastAsia="Times New Roman"/>
                                <w:spacing w:val="-2"/>
                                <w:sz w:val="20"/>
                                <w:szCs w:val="20"/>
                                <w:lang w:eastAsia="ru-RU"/>
                              </w:rPr>
                              <w:t>согласно</w:t>
                            </w:r>
                          </w:p>
                          <w:p w:rsidR="00DA39BD" w:rsidRPr="00DA39BD" w:rsidRDefault="00DA39BD" w:rsidP="00DA39BD">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3"/>
                                <w:sz w:val="20"/>
                                <w:szCs w:val="20"/>
                                <w:lang w:eastAsia="ru-RU"/>
                              </w:rPr>
                              <w:t xml:space="preserve">стратегии на </w:t>
                            </w:r>
                            <w:r w:rsidRPr="00DA39BD">
                              <w:rPr>
                                <w:rFonts w:eastAsia="Times New Roman"/>
                                <w:sz w:val="20"/>
                                <w:szCs w:val="20"/>
                                <w:lang w:eastAsia="ru-RU"/>
                              </w:rPr>
                              <w:t>2013г.</w:t>
                            </w:r>
                          </w:p>
                        </w:tc>
                        <w:tc>
                          <w:tcPr>
                            <w:tcW w:w="1276"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Плановое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значение</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показателя</w:t>
                            </w:r>
                          </w:p>
                          <w:p w:rsidR="00DA39BD" w:rsidRPr="00DA39BD" w:rsidRDefault="00DA39BD" w:rsidP="00DA39BD">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z w:val="20"/>
                                <w:szCs w:val="20"/>
                                <w:lang w:eastAsia="ru-RU"/>
                              </w:rPr>
                              <w:t>согласно</w:t>
                            </w:r>
                          </w:p>
                          <w:p w:rsidR="00DA39BD" w:rsidRPr="00DA39BD" w:rsidRDefault="00DA39BD" w:rsidP="002F0EB4">
                            <w:pPr>
                              <w:widowControl w:val="0"/>
                              <w:shd w:val="clear" w:color="auto" w:fill="FFFFFF"/>
                              <w:autoSpaceDE w:val="0"/>
                              <w:autoSpaceDN w:val="0"/>
                              <w:adjustRightInd w:val="0"/>
                              <w:spacing w:line="269" w:lineRule="exact"/>
                              <w:rPr>
                                <w:rFonts w:eastAsia="Times New Roman"/>
                                <w:sz w:val="20"/>
                                <w:szCs w:val="20"/>
                                <w:lang w:eastAsia="ru-RU"/>
                              </w:rPr>
                            </w:pPr>
                            <w:r w:rsidRPr="00DA39BD">
                              <w:rPr>
                                <w:rFonts w:eastAsia="Times New Roman"/>
                                <w:spacing w:val="-3"/>
                                <w:sz w:val="20"/>
                                <w:szCs w:val="20"/>
                                <w:lang w:eastAsia="ru-RU"/>
                              </w:rPr>
                              <w:t>бюджету на</w:t>
                            </w:r>
                            <w:r w:rsidR="002F0EB4">
                              <w:rPr>
                                <w:rFonts w:eastAsia="Times New Roman"/>
                                <w:spacing w:val="-3"/>
                                <w:sz w:val="20"/>
                                <w:szCs w:val="20"/>
                                <w:lang w:val="en-US" w:eastAsia="ru-RU"/>
                              </w:rPr>
                              <w:t xml:space="preserve"> </w:t>
                            </w:r>
                            <w:r w:rsidRPr="00DA39BD">
                              <w:rPr>
                                <w:rFonts w:eastAsia="Times New Roman"/>
                                <w:sz w:val="20"/>
                                <w:szCs w:val="20"/>
                                <w:lang w:eastAsia="ru-RU"/>
                              </w:rPr>
                              <w:t>2013г.</w:t>
                            </w:r>
                          </w:p>
                        </w:tc>
                        <w:tc>
                          <w:tcPr>
                            <w:tcW w:w="1418" w:type="dxa"/>
                            <w:shd w:val="clear" w:color="auto" w:fill="FFFFFF"/>
                          </w:tcPr>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2"/>
                                <w:sz w:val="20"/>
                                <w:szCs w:val="20"/>
                                <w:lang w:eastAsia="ru-RU"/>
                              </w:rPr>
                              <w:t>Фактическое</w:t>
                            </w:r>
                          </w:p>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z w:val="20"/>
                                <w:szCs w:val="20"/>
                                <w:lang w:eastAsia="ru-RU"/>
                              </w:rPr>
                              <w:t>значение</w:t>
                            </w:r>
                          </w:p>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4"/>
                                <w:sz w:val="20"/>
                                <w:szCs w:val="20"/>
                                <w:lang w:eastAsia="ru-RU"/>
                              </w:rPr>
                              <w:t>показателя по</w:t>
                            </w:r>
                            <w:r w:rsidR="002F0EB4">
                              <w:rPr>
                                <w:rFonts w:eastAsia="Times New Roman"/>
                                <w:spacing w:val="-4"/>
                                <w:sz w:val="20"/>
                                <w:szCs w:val="20"/>
                                <w:lang w:val="en-US" w:eastAsia="ru-RU"/>
                              </w:rPr>
                              <w:t xml:space="preserve"> </w:t>
                            </w:r>
                            <w:r w:rsidRPr="00DA39BD">
                              <w:rPr>
                                <w:rFonts w:eastAsia="Times New Roman"/>
                                <w:spacing w:val="-3"/>
                                <w:sz w:val="20"/>
                                <w:szCs w:val="20"/>
                                <w:lang w:eastAsia="ru-RU"/>
                              </w:rPr>
                              <w:t>состоянию на</w:t>
                            </w:r>
                          </w:p>
                          <w:p w:rsidR="00DA39BD" w:rsidRPr="00DA39BD" w:rsidRDefault="00DA39BD" w:rsidP="002F0EB4">
                            <w:pPr>
                              <w:widowControl w:val="0"/>
                              <w:shd w:val="clear" w:color="auto" w:fill="FFFFFF"/>
                              <w:autoSpaceDE w:val="0"/>
                              <w:autoSpaceDN w:val="0"/>
                              <w:adjustRightInd w:val="0"/>
                              <w:spacing w:line="274" w:lineRule="exact"/>
                              <w:rPr>
                                <w:rFonts w:eastAsia="Times New Roman"/>
                                <w:sz w:val="20"/>
                                <w:szCs w:val="20"/>
                                <w:lang w:eastAsia="ru-RU"/>
                              </w:rPr>
                            </w:pPr>
                            <w:r w:rsidRPr="00DA39BD">
                              <w:rPr>
                                <w:rFonts w:eastAsia="Times New Roman"/>
                                <w:spacing w:val="-3"/>
                                <w:sz w:val="20"/>
                                <w:szCs w:val="20"/>
                                <w:lang w:eastAsia="ru-RU"/>
                              </w:rPr>
                              <w:t>31.12.2013г.</w:t>
                            </w:r>
                          </w:p>
                        </w:tc>
                      </w:tr>
                      <w:tr w:rsidR="00DA39BD" w:rsidRPr="004D6710" w:rsidTr="002F0EB4">
                        <w:tblPrEx>
                          <w:tblCellMar>
                            <w:top w:w="0" w:type="dxa"/>
                            <w:bottom w:w="0" w:type="dxa"/>
                          </w:tblCellMar>
                        </w:tblPrEx>
                        <w:trPr>
                          <w:trHeight w:hRule="exact" w:val="1090"/>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z w:val="20"/>
                                <w:szCs w:val="20"/>
                                <w:lang w:eastAsia="ru-RU"/>
                              </w:rPr>
                              <w:t>Рентабельность собственного капитала по чистой прибыли (</w:t>
                            </w:r>
                            <w:r w:rsidRPr="00DA39BD">
                              <w:rPr>
                                <w:rFonts w:eastAsia="Times New Roman"/>
                                <w:sz w:val="20"/>
                                <w:szCs w:val="20"/>
                                <w:lang w:val="en-US" w:eastAsia="ru-RU"/>
                              </w:rPr>
                              <w:t>ROE</w:t>
                            </w:r>
                            <w:r w:rsidRPr="00DA39BD">
                              <w:rPr>
                                <w:rFonts w:eastAsia="Times New Roman"/>
                                <w:sz w:val="20"/>
                                <w:szCs w:val="20"/>
                                <w:lang w:eastAsia="ru-RU"/>
                              </w:rPr>
                              <w:t>)</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менее 5%</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5%</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14%</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14%</w:t>
                            </w:r>
                          </w:p>
                        </w:tc>
                      </w:tr>
                      <w:tr w:rsidR="00DA39BD" w:rsidRPr="004D6710" w:rsidTr="002F0EB4">
                        <w:tblPrEx>
                          <w:tblCellMar>
                            <w:top w:w="0" w:type="dxa"/>
                            <w:bottom w:w="0" w:type="dxa"/>
                          </w:tblCellMar>
                        </w:tblPrEx>
                        <w:trPr>
                          <w:trHeight w:hRule="exact" w:val="581"/>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2</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88" w:lineRule="exact"/>
                              <w:ind w:right="102"/>
                              <w:rPr>
                                <w:rFonts w:eastAsia="Times New Roman"/>
                                <w:sz w:val="20"/>
                                <w:szCs w:val="20"/>
                                <w:lang w:eastAsia="ru-RU"/>
                              </w:rPr>
                            </w:pPr>
                            <w:r w:rsidRPr="00DA39BD">
                              <w:rPr>
                                <w:rFonts w:eastAsia="Times New Roman"/>
                                <w:sz w:val="20"/>
                                <w:szCs w:val="20"/>
                                <w:lang w:eastAsia="ru-RU"/>
                              </w:rPr>
                              <w:t>Рентабельность продаж (РП)</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менее 5%</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22%</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20,5%</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15%</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16%</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21%</w:t>
                            </w:r>
                          </w:p>
                        </w:tc>
                      </w:tr>
                      <w:tr w:rsidR="00DA39BD" w:rsidRPr="004D6710" w:rsidTr="002F0EB4">
                        <w:tblPrEx>
                          <w:tblCellMar>
                            <w:top w:w="0" w:type="dxa"/>
                            <w:bottom w:w="0" w:type="dxa"/>
                          </w:tblCellMar>
                        </w:tblPrEx>
                        <w:trPr>
                          <w:trHeight w:hRule="exact" w:val="835"/>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3</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z w:val="20"/>
                                <w:szCs w:val="20"/>
                                <w:lang w:eastAsia="ru-RU"/>
                              </w:rPr>
                              <w:t xml:space="preserve">Коэффициент текущей </w:t>
                            </w:r>
                            <w:r w:rsidRPr="00DA39BD">
                              <w:rPr>
                                <w:rFonts w:eastAsia="Times New Roman"/>
                                <w:spacing w:val="-2"/>
                                <w:sz w:val="20"/>
                                <w:szCs w:val="20"/>
                                <w:lang w:eastAsia="ru-RU"/>
                              </w:rPr>
                              <w:t>ликвидности (КТЛ)</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менее 0,7</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0,8</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1,4</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0,94</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1,78</w:t>
                            </w:r>
                          </w:p>
                        </w:tc>
                      </w:tr>
                      <w:tr w:rsidR="00DA39BD" w:rsidRPr="004D6710" w:rsidTr="002F0EB4">
                        <w:tblPrEx>
                          <w:tblCellMar>
                            <w:top w:w="0" w:type="dxa"/>
                            <w:bottom w:w="0" w:type="dxa"/>
                          </w:tblCellMar>
                        </w:tblPrEx>
                        <w:trPr>
                          <w:trHeight w:hRule="exact" w:val="1373"/>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4</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74" w:lineRule="exact"/>
                              <w:ind w:right="102"/>
                              <w:rPr>
                                <w:rFonts w:eastAsia="Times New Roman"/>
                                <w:sz w:val="20"/>
                                <w:szCs w:val="20"/>
                                <w:lang w:eastAsia="ru-RU"/>
                              </w:rPr>
                            </w:pPr>
                            <w:r w:rsidRPr="00DA39BD">
                              <w:rPr>
                                <w:rFonts w:eastAsia="Times New Roman"/>
                                <w:sz w:val="20"/>
                                <w:szCs w:val="20"/>
                                <w:lang w:eastAsia="ru-RU"/>
                              </w:rPr>
                              <w:t>Коэффициент соотношения заемных  и собственных средств (КЗС)</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4"/>
                                <w:sz w:val="20"/>
                                <w:szCs w:val="20"/>
                                <w:lang w:eastAsia="ru-RU"/>
                              </w:rPr>
                              <w:t>не более 0,7</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spacing w:line="221" w:lineRule="exact"/>
                              <w:jc w:val="center"/>
                              <w:rPr>
                                <w:rFonts w:eastAsia="Times New Roman"/>
                                <w:sz w:val="20"/>
                                <w:szCs w:val="20"/>
                                <w:lang w:eastAsia="ru-RU"/>
                              </w:rPr>
                            </w:pPr>
                            <w:r>
                              <w:rPr>
                                <w:rFonts w:eastAsia="Times New Roman"/>
                                <w:sz w:val="20"/>
                                <w:szCs w:val="20"/>
                                <w:lang w:eastAsia="ru-RU"/>
                              </w:rPr>
                              <w:t>0,45</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spacing w:line="221" w:lineRule="exact"/>
                              <w:jc w:val="center"/>
                              <w:rPr>
                                <w:rFonts w:eastAsia="Times New Roman"/>
                                <w:sz w:val="20"/>
                                <w:szCs w:val="20"/>
                                <w:lang w:eastAsia="ru-RU"/>
                              </w:rPr>
                            </w:pPr>
                            <w:r>
                              <w:rPr>
                                <w:rFonts w:eastAsia="Times New Roman"/>
                                <w:sz w:val="20"/>
                                <w:szCs w:val="20"/>
                                <w:lang w:eastAsia="ru-RU"/>
                              </w:rPr>
                              <w:t>0,25</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spacing w:line="221" w:lineRule="exact"/>
                              <w:jc w:val="center"/>
                              <w:rPr>
                                <w:rFonts w:eastAsia="Times New Roman"/>
                                <w:sz w:val="20"/>
                                <w:szCs w:val="20"/>
                                <w:lang w:eastAsia="ru-RU"/>
                              </w:rPr>
                            </w:pPr>
                            <w:r w:rsidRPr="00DA39BD">
                              <w:rPr>
                                <w:rFonts w:eastAsia="Times New Roman"/>
                                <w:sz w:val="20"/>
                                <w:szCs w:val="20"/>
                                <w:lang w:eastAsia="ru-RU"/>
                              </w:rPr>
                              <w:t>0,2</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0,2</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0,2</w:t>
                            </w:r>
                          </w:p>
                        </w:tc>
                      </w:tr>
                      <w:tr w:rsidR="00DA39BD" w:rsidRPr="004D6710" w:rsidTr="002F0EB4">
                        <w:tblPrEx>
                          <w:tblCellMar>
                            <w:top w:w="0" w:type="dxa"/>
                            <w:bottom w:w="0" w:type="dxa"/>
                          </w:tblCellMar>
                        </w:tblPrEx>
                        <w:trPr>
                          <w:trHeight w:hRule="exact" w:val="581"/>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5</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69" w:lineRule="exact"/>
                              <w:ind w:right="102"/>
                              <w:rPr>
                                <w:rFonts w:eastAsia="Times New Roman"/>
                                <w:sz w:val="20"/>
                                <w:szCs w:val="20"/>
                                <w:lang w:eastAsia="ru-RU"/>
                              </w:rPr>
                            </w:pPr>
                            <w:r w:rsidRPr="00DA39BD">
                              <w:rPr>
                                <w:rFonts w:eastAsia="Times New Roman"/>
                                <w:sz w:val="20"/>
                                <w:szCs w:val="20"/>
                                <w:lang w:eastAsia="ru-RU"/>
                              </w:rPr>
                              <w:t xml:space="preserve">Коэффициент </w:t>
                            </w:r>
                            <w:r w:rsidRPr="00DA39BD">
                              <w:rPr>
                                <w:rFonts w:eastAsia="Times New Roman"/>
                                <w:spacing w:val="-3"/>
                                <w:sz w:val="20"/>
                                <w:szCs w:val="20"/>
                                <w:lang w:eastAsia="ru-RU"/>
                              </w:rPr>
                              <w:t>автономии (КА)</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pacing w:val="-5"/>
                                <w:sz w:val="20"/>
                                <w:szCs w:val="20"/>
                                <w:lang w:eastAsia="ru-RU"/>
                              </w:rPr>
                              <w:t>не менее 0,5</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0,68</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0,8</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0,82</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0,82</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0,82</w:t>
                            </w:r>
                          </w:p>
                        </w:tc>
                      </w:tr>
                      <w:tr w:rsidR="00DA39BD" w:rsidRPr="004D6710" w:rsidTr="002F0EB4">
                        <w:tblPrEx>
                          <w:tblCellMar>
                            <w:top w:w="0" w:type="dxa"/>
                            <w:bottom w:w="0" w:type="dxa"/>
                          </w:tblCellMar>
                        </w:tblPrEx>
                        <w:trPr>
                          <w:trHeight w:hRule="exact" w:val="850"/>
                        </w:trPr>
                        <w:tc>
                          <w:tcPr>
                            <w:tcW w:w="527" w:type="dxa"/>
                            <w:shd w:val="clear" w:color="auto" w:fill="FFFFFF"/>
                          </w:tcPr>
                          <w:p w:rsidR="00DA39BD" w:rsidRPr="00DA39BD" w:rsidRDefault="00DA39BD" w:rsidP="002F0EB4">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6</w:t>
                            </w:r>
                          </w:p>
                        </w:tc>
                        <w:tc>
                          <w:tcPr>
                            <w:tcW w:w="1883" w:type="dxa"/>
                            <w:shd w:val="clear" w:color="auto" w:fill="FFFFFF"/>
                          </w:tcPr>
                          <w:p w:rsidR="00DA39BD" w:rsidRPr="00DA39BD" w:rsidRDefault="00DA39BD" w:rsidP="00DA39BD">
                            <w:pPr>
                              <w:widowControl w:val="0"/>
                              <w:shd w:val="clear" w:color="auto" w:fill="FFFFFF"/>
                              <w:autoSpaceDE w:val="0"/>
                              <w:autoSpaceDN w:val="0"/>
                              <w:adjustRightInd w:val="0"/>
                              <w:spacing w:line="288" w:lineRule="exact"/>
                              <w:ind w:right="102"/>
                              <w:rPr>
                                <w:rFonts w:eastAsia="Times New Roman"/>
                                <w:sz w:val="20"/>
                                <w:szCs w:val="20"/>
                                <w:lang w:eastAsia="ru-RU"/>
                              </w:rPr>
                            </w:pPr>
                            <w:r w:rsidRPr="00DA39BD">
                              <w:rPr>
                                <w:rFonts w:eastAsia="Times New Roman"/>
                                <w:sz w:val="20"/>
                                <w:szCs w:val="20"/>
                                <w:lang w:eastAsia="ru-RU"/>
                              </w:rPr>
                              <w:t>Снижение затрат на единицу продукции (3)</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spacing w:line="269" w:lineRule="exact"/>
                              <w:ind w:right="43"/>
                              <w:jc w:val="center"/>
                              <w:rPr>
                                <w:rFonts w:eastAsia="Times New Roman"/>
                                <w:sz w:val="20"/>
                                <w:szCs w:val="20"/>
                                <w:lang w:eastAsia="ru-RU"/>
                              </w:rPr>
                            </w:pPr>
                            <w:r w:rsidRPr="00DA39BD">
                              <w:rPr>
                                <w:rFonts w:eastAsia="Times New Roman"/>
                                <w:spacing w:val="-4"/>
                                <w:sz w:val="20"/>
                                <w:szCs w:val="20"/>
                                <w:lang w:eastAsia="ru-RU"/>
                              </w:rPr>
                              <w:t xml:space="preserve">не менее 10% </w:t>
                            </w:r>
                            <w:r w:rsidRPr="00DA39BD">
                              <w:rPr>
                                <w:rFonts w:eastAsia="Times New Roman"/>
                                <w:sz w:val="20"/>
                                <w:szCs w:val="20"/>
                                <w:lang w:eastAsia="ru-RU"/>
                              </w:rPr>
                              <w:t>в год</w:t>
                            </w:r>
                          </w:p>
                        </w:tc>
                        <w:tc>
                          <w:tcPr>
                            <w:tcW w:w="1275" w:type="dxa"/>
                            <w:tcBorders>
                              <w:left w:val="single" w:sz="4" w:space="0" w:color="auto"/>
                              <w:righ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10%</w:t>
                            </w:r>
                          </w:p>
                        </w:tc>
                        <w:tc>
                          <w:tcPr>
                            <w:tcW w:w="1276" w:type="dxa"/>
                            <w:tcBorders>
                              <w:left w:val="single" w:sz="4" w:space="0" w:color="auto"/>
                            </w:tcBorders>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Pr>
                                <w:rFonts w:eastAsia="Times New Roman"/>
                                <w:sz w:val="20"/>
                                <w:szCs w:val="20"/>
                                <w:lang w:eastAsia="ru-RU"/>
                              </w:rPr>
                              <w:t>11%</w:t>
                            </w:r>
                          </w:p>
                        </w:tc>
                        <w:tc>
                          <w:tcPr>
                            <w:tcW w:w="1134"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276"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10%</w:t>
                            </w:r>
                          </w:p>
                        </w:tc>
                        <w:tc>
                          <w:tcPr>
                            <w:tcW w:w="1418" w:type="dxa"/>
                            <w:shd w:val="clear" w:color="auto" w:fill="FFFFFF"/>
                            <w:vAlign w:val="center"/>
                          </w:tcPr>
                          <w:p w:rsidR="00DA39BD" w:rsidRPr="00DA39BD" w:rsidRDefault="00DA39BD" w:rsidP="00DA39BD">
                            <w:pPr>
                              <w:widowControl w:val="0"/>
                              <w:shd w:val="clear" w:color="auto" w:fill="FFFFFF"/>
                              <w:autoSpaceDE w:val="0"/>
                              <w:autoSpaceDN w:val="0"/>
                              <w:adjustRightInd w:val="0"/>
                              <w:jc w:val="center"/>
                              <w:rPr>
                                <w:rFonts w:eastAsia="Times New Roman"/>
                                <w:sz w:val="20"/>
                                <w:szCs w:val="20"/>
                                <w:lang w:eastAsia="ru-RU"/>
                              </w:rPr>
                            </w:pPr>
                            <w:r w:rsidRPr="00DA39BD">
                              <w:rPr>
                                <w:rFonts w:eastAsia="Times New Roman"/>
                                <w:sz w:val="20"/>
                                <w:szCs w:val="20"/>
                                <w:lang w:eastAsia="ru-RU"/>
                              </w:rPr>
                              <w:t>13%</w:t>
                            </w:r>
                          </w:p>
                        </w:tc>
                      </w:tr>
                    </w:tbl>
                    <w:p w:rsidR="006D6422" w:rsidRDefault="006D6422" w:rsidP="006D6422"/>
                  </w:txbxContent>
                </v:textbox>
                <w10:wrap type="square"/>
              </v:shape>
            </w:pict>
          </mc:Fallback>
        </mc:AlternateContent>
      </w:r>
      <w:r w:rsidR="002F0EB4">
        <w:rPr>
          <w:sz w:val="24"/>
          <w:szCs w:val="24"/>
        </w:rPr>
        <w:t>т</w:t>
      </w:r>
      <w:r w:rsidR="006D6422" w:rsidRPr="004D6710">
        <w:rPr>
          <w:sz w:val="24"/>
          <w:szCs w:val="24"/>
        </w:rPr>
        <w:t xml:space="preserve">аблица </w:t>
      </w:r>
      <w:r w:rsidR="006D6422">
        <w:rPr>
          <w:sz w:val="24"/>
          <w:szCs w:val="24"/>
        </w:rPr>
        <w:t>1</w:t>
      </w:r>
      <w:r w:rsidR="006D6422" w:rsidRPr="004D6710">
        <w:rPr>
          <w:sz w:val="24"/>
          <w:szCs w:val="24"/>
        </w:rPr>
        <w:t>.</w:t>
      </w:r>
    </w:p>
    <w:p w:rsidR="006D6422" w:rsidRDefault="003328C7" w:rsidP="006D6422">
      <w:pPr>
        <w:spacing w:line="360" w:lineRule="auto"/>
        <w:ind w:firstLine="425"/>
        <w:jc w:val="both"/>
        <w:rPr>
          <w:sz w:val="24"/>
          <w:szCs w:val="24"/>
        </w:rPr>
      </w:pPr>
      <w:r w:rsidRPr="003328C7">
        <w:rPr>
          <w:sz w:val="24"/>
          <w:szCs w:val="24"/>
        </w:rPr>
        <w:t xml:space="preserve">В обществе создана и действует система внутреннего контроля, которая включает в себя отдел внутреннего аудита, отдел экономической безопасности, службу качества. </w:t>
      </w:r>
    </w:p>
    <w:p w:rsidR="003328C7" w:rsidRDefault="003328C7" w:rsidP="006D6422">
      <w:pPr>
        <w:spacing w:line="360" w:lineRule="auto"/>
        <w:ind w:firstLine="425"/>
        <w:jc w:val="both"/>
        <w:rPr>
          <w:sz w:val="24"/>
          <w:szCs w:val="24"/>
        </w:rPr>
      </w:pPr>
      <w:r w:rsidRPr="003328C7">
        <w:rPr>
          <w:sz w:val="24"/>
          <w:szCs w:val="24"/>
        </w:rPr>
        <w:t xml:space="preserve">Также в Обществе формируется система качества на базе </w:t>
      </w:r>
      <w:r w:rsidR="00E92EAC">
        <w:rPr>
          <w:sz w:val="24"/>
          <w:szCs w:val="24"/>
        </w:rPr>
        <w:t xml:space="preserve">стандарта </w:t>
      </w:r>
      <w:r w:rsidRPr="003328C7">
        <w:rPr>
          <w:sz w:val="24"/>
          <w:szCs w:val="24"/>
        </w:rPr>
        <w:t xml:space="preserve">ISO 9000. Регулярно в Совет директоров, в комитет по аудиту при Совете директоров и ревизионную комиссию </w:t>
      </w:r>
      <w:r w:rsidR="00227AA5">
        <w:rPr>
          <w:sz w:val="24"/>
          <w:szCs w:val="24"/>
        </w:rPr>
        <w:t xml:space="preserve">для рассмотрения и проверки </w:t>
      </w:r>
      <w:r w:rsidRPr="003328C7">
        <w:rPr>
          <w:sz w:val="24"/>
          <w:szCs w:val="24"/>
        </w:rPr>
        <w:t>предоставляются отчеты</w:t>
      </w:r>
      <w:r w:rsidR="00227AA5">
        <w:rPr>
          <w:sz w:val="24"/>
          <w:szCs w:val="24"/>
        </w:rPr>
        <w:t xml:space="preserve"> о результатах внутренних проверок (в том числе о закупочной деятельности)</w:t>
      </w:r>
      <w:r w:rsidRPr="003328C7">
        <w:rPr>
          <w:sz w:val="24"/>
          <w:szCs w:val="24"/>
        </w:rPr>
        <w:t>.</w:t>
      </w:r>
    </w:p>
    <w:p w:rsidR="004E502A" w:rsidRDefault="004E502A" w:rsidP="006D6422">
      <w:pPr>
        <w:spacing w:line="360" w:lineRule="auto"/>
        <w:ind w:firstLine="425"/>
        <w:jc w:val="both"/>
        <w:rPr>
          <w:sz w:val="24"/>
          <w:szCs w:val="24"/>
        </w:rPr>
      </w:pPr>
      <w:r w:rsidRPr="004E502A">
        <w:rPr>
          <w:sz w:val="24"/>
          <w:szCs w:val="24"/>
        </w:rPr>
        <w:t xml:space="preserve">За период 2011-2013 гг. </w:t>
      </w:r>
      <w:r w:rsidR="006D6422">
        <w:rPr>
          <w:sz w:val="24"/>
          <w:szCs w:val="24"/>
        </w:rPr>
        <w:t>общество</w:t>
      </w:r>
      <w:r w:rsidRPr="004E502A">
        <w:rPr>
          <w:sz w:val="24"/>
          <w:szCs w:val="24"/>
        </w:rPr>
        <w:t xml:space="preserve"> добилось существенного улучшения финансово-экономических показателей. Чистая прибыль Общества за два года увеличилась со 191 662 тыс. руб. до 309 992 тыс. руб., количество обслуженных пассажиров — с 1 257 804 до 1 569 011 чел. Более подробно динамика показателей представлена в табл. </w:t>
      </w:r>
      <w:r>
        <w:rPr>
          <w:sz w:val="24"/>
          <w:szCs w:val="24"/>
        </w:rPr>
        <w:t>2</w:t>
      </w:r>
      <w:r w:rsidRPr="004E502A">
        <w:rPr>
          <w:sz w:val="24"/>
          <w:szCs w:val="24"/>
        </w:rPr>
        <w:t>:</w:t>
      </w:r>
    </w:p>
    <w:p w:rsidR="00E1550A" w:rsidRPr="004E502A" w:rsidRDefault="00227AA5" w:rsidP="00227AA5">
      <w:pPr>
        <w:spacing w:line="340" w:lineRule="exact"/>
        <w:ind w:firstLine="425"/>
        <w:jc w:val="right"/>
        <w:rPr>
          <w:sz w:val="24"/>
          <w:szCs w:val="24"/>
        </w:rPr>
      </w:pPr>
      <w:r w:rsidRPr="004E502A">
        <w:rPr>
          <w:sz w:val="24"/>
          <w:szCs w:val="24"/>
        </w:rPr>
        <w:t xml:space="preserve">Таблица </w:t>
      </w:r>
      <w:r>
        <w:rPr>
          <w:sz w:val="24"/>
          <w:szCs w:val="24"/>
        </w:rPr>
        <w:t>2</w:t>
      </w:r>
    </w:p>
    <w:p w:rsidR="004E502A" w:rsidRDefault="004E502A" w:rsidP="007E0599">
      <w:pPr>
        <w:spacing w:line="340" w:lineRule="exact"/>
        <w:ind w:firstLine="425"/>
        <w:jc w:val="center"/>
        <w:rPr>
          <w:sz w:val="24"/>
          <w:szCs w:val="24"/>
        </w:rPr>
      </w:pPr>
      <w:r w:rsidRPr="004E502A">
        <w:rPr>
          <w:sz w:val="24"/>
          <w:szCs w:val="24"/>
        </w:rPr>
        <w:t xml:space="preserve">Финансово-экономические показатели </w:t>
      </w:r>
    </w:p>
    <w:p w:rsidR="00E92EAC" w:rsidRDefault="004E502A" w:rsidP="007E0599">
      <w:pPr>
        <w:spacing w:line="340" w:lineRule="exact"/>
        <w:ind w:firstLine="425"/>
        <w:jc w:val="center"/>
        <w:rPr>
          <w:sz w:val="24"/>
          <w:szCs w:val="24"/>
        </w:rPr>
      </w:pPr>
      <w:r w:rsidRPr="004E502A">
        <w:rPr>
          <w:sz w:val="24"/>
          <w:szCs w:val="24"/>
        </w:rPr>
        <w:t>ОАО «</w:t>
      </w:r>
      <w:r w:rsidR="00CB5981">
        <w:rPr>
          <w:sz w:val="24"/>
          <w:szCs w:val="24"/>
        </w:rPr>
        <w:t>КОМПАНИЯ</w:t>
      </w:r>
      <w:r w:rsidRPr="004E502A">
        <w:rPr>
          <w:sz w:val="24"/>
          <w:szCs w:val="24"/>
        </w:rPr>
        <w:t>» за 2011-2013гг.</w:t>
      </w:r>
      <w:r w:rsidR="00E92EAC" w:rsidRPr="00E92EAC">
        <w:rPr>
          <w:sz w:val="24"/>
          <w:szCs w:val="24"/>
        </w:rPr>
        <w:t xml:space="preserve"> </w:t>
      </w:r>
    </w:p>
    <w:p w:rsidR="004E502A" w:rsidRPr="002F0EB4" w:rsidRDefault="004E502A" w:rsidP="00E92EAC">
      <w:pPr>
        <w:ind w:firstLine="425"/>
        <w:jc w:val="right"/>
        <w:rPr>
          <w:sz w:val="16"/>
          <w:szCs w:val="16"/>
        </w:rPr>
      </w:pPr>
    </w:p>
    <w:tbl>
      <w:tblPr>
        <w:tblpPr w:leftFromText="180" w:rightFromText="180" w:vertAnchor="text" w:horzAnchor="margin" w:tblpXSpec="center" w:tblpY="12"/>
        <w:tblW w:w="9679" w:type="dxa"/>
        <w:tblLayout w:type="fixed"/>
        <w:tblCellMar>
          <w:left w:w="40" w:type="dxa"/>
          <w:right w:w="40" w:type="dxa"/>
        </w:tblCellMar>
        <w:tblLook w:val="0000" w:firstRow="0" w:lastRow="0" w:firstColumn="0" w:lastColumn="0" w:noHBand="0" w:noVBand="0"/>
      </w:tblPr>
      <w:tblGrid>
        <w:gridCol w:w="2167"/>
        <w:gridCol w:w="1701"/>
        <w:gridCol w:w="1275"/>
        <w:gridCol w:w="1276"/>
        <w:gridCol w:w="992"/>
        <w:gridCol w:w="1276"/>
        <w:gridCol w:w="992"/>
      </w:tblGrid>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
                <w:bCs/>
                <w:spacing w:val="-3"/>
                <w:sz w:val="24"/>
                <w:szCs w:val="24"/>
                <w:lang w:eastAsia="ru-RU"/>
              </w:rPr>
              <w:t>Показатель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b/>
                <w:sz w:val="20"/>
                <w:szCs w:val="20"/>
                <w:lang w:eastAsia="ru-RU"/>
              </w:rPr>
            </w:pPr>
            <w:r w:rsidRPr="004E502A">
              <w:rPr>
                <w:rFonts w:eastAsia="Times New Roman"/>
                <w:b/>
                <w:sz w:val="24"/>
                <w:szCs w:val="24"/>
                <w:lang w:eastAsia="ru-RU"/>
              </w:rPr>
              <w:t>Ед. изм.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
                <w:bCs/>
                <w:spacing w:val="-6"/>
                <w:sz w:val="24"/>
                <w:szCs w:val="24"/>
                <w:lang w:eastAsia="ru-RU"/>
              </w:rPr>
              <w:t>2011г.*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
                <w:bCs/>
                <w:sz w:val="24"/>
                <w:szCs w:val="24"/>
                <w:lang w:eastAsia="ru-RU"/>
              </w:rPr>
              <w:t>2012г.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
                <w:bCs/>
                <w:spacing w:val="-3"/>
                <w:sz w:val="24"/>
                <w:szCs w:val="24"/>
                <w:lang w:eastAsia="ru-RU"/>
              </w:rPr>
              <w:t>Изменение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
                <w:bCs/>
                <w:sz w:val="24"/>
                <w:szCs w:val="24"/>
                <w:lang w:eastAsia="ru-RU"/>
              </w:rPr>
              <w:t>2013г.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jc w:val="center"/>
              <w:rPr>
                <w:rFonts w:eastAsia="Times New Roman"/>
                <w:sz w:val="20"/>
                <w:szCs w:val="20"/>
                <w:lang w:eastAsia="ru-RU"/>
              </w:rPr>
            </w:pPr>
            <w:r w:rsidRPr="004E502A">
              <w:rPr>
                <w:rFonts w:eastAsia="Times New Roman"/>
                <w:b/>
                <w:bCs/>
                <w:spacing w:val="-4"/>
                <w:sz w:val="24"/>
                <w:szCs w:val="24"/>
                <w:lang w:eastAsia="ru-RU"/>
              </w:rPr>
              <w:t>Изменение</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2"/>
                <w:sz w:val="24"/>
                <w:szCs w:val="24"/>
                <w:lang w:eastAsia="ru-RU"/>
              </w:rPr>
              <w:t>Пассажиропоток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Пасс.</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7"/>
                <w:sz w:val="24"/>
                <w:szCs w:val="24"/>
                <w:lang w:eastAsia="ru-RU"/>
              </w:rPr>
              <w:t>1 257 804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8"/>
                <w:sz w:val="24"/>
                <w:szCs w:val="24"/>
                <w:lang w:eastAsia="ru-RU"/>
              </w:rPr>
              <w:t xml:space="preserve">1 </w:t>
            </w:r>
            <w:r w:rsidRPr="004E502A">
              <w:rPr>
                <w:rFonts w:eastAsia="Times New Roman"/>
                <w:spacing w:val="-8"/>
                <w:sz w:val="24"/>
                <w:szCs w:val="24"/>
                <w:lang w:eastAsia="ru-RU"/>
              </w:rPr>
              <w:t>400 265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11,3%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8"/>
                <w:sz w:val="24"/>
                <w:szCs w:val="24"/>
                <w:lang w:eastAsia="ru-RU"/>
              </w:rPr>
              <w:t xml:space="preserve">1 </w:t>
            </w:r>
            <w:r w:rsidRPr="004E502A">
              <w:rPr>
                <w:rFonts w:eastAsia="Times New Roman"/>
                <w:spacing w:val="-8"/>
                <w:sz w:val="24"/>
                <w:szCs w:val="24"/>
                <w:lang w:eastAsia="ru-RU"/>
              </w:rPr>
              <w:t>569 011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12,1%</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Кол-во</w:t>
            </w:r>
          </w:p>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3"/>
                <w:sz w:val="24"/>
                <w:szCs w:val="24"/>
                <w:lang w:eastAsia="ru-RU"/>
              </w:rPr>
              <w:t>самолетовылетов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ед.</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10 075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10 434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4"/>
                <w:szCs w:val="24"/>
                <w:lang w:eastAsia="ru-RU"/>
              </w:rPr>
              <w:t>3,6%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11 823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13,3%</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Выручка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тыс.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2"/>
                <w:sz w:val="24"/>
                <w:szCs w:val="24"/>
                <w:lang w:eastAsia="ru-RU"/>
              </w:rPr>
              <w:t>1446 731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8"/>
                <w:sz w:val="24"/>
                <w:szCs w:val="24"/>
                <w:lang w:eastAsia="ru-RU"/>
              </w:rPr>
              <w:t xml:space="preserve">1 </w:t>
            </w:r>
            <w:r w:rsidRPr="004E502A">
              <w:rPr>
                <w:rFonts w:eastAsia="Times New Roman"/>
                <w:spacing w:val="-8"/>
                <w:sz w:val="24"/>
                <w:szCs w:val="24"/>
                <w:lang w:eastAsia="ru-RU"/>
              </w:rPr>
              <w:t>787 161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23,5%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7"/>
                <w:sz w:val="24"/>
                <w:szCs w:val="24"/>
                <w:lang w:eastAsia="ru-RU"/>
              </w:rPr>
              <w:t xml:space="preserve">1 </w:t>
            </w:r>
            <w:r w:rsidRPr="004E502A">
              <w:rPr>
                <w:rFonts w:eastAsia="Times New Roman"/>
                <w:spacing w:val="-7"/>
                <w:sz w:val="24"/>
                <w:szCs w:val="24"/>
                <w:lang w:eastAsia="ru-RU"/>
              </w:rPr>
              <w:t>986 802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4"/>
                <w:szCs w:val="24"/>
                <w:lang w:eastAsia="ru-RU"/>
              </w:rPr>
              <w:t>11,2%</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lastRenderedPageBreak/>
              <w:t>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тыс.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6"/>
                <w:sz w:val="24"/>
                <w:szCs w:val="24"/>
                <w:lang w:eastAsia="ru-RU"/>
              </w:rPr>
              <w:t>1 178 920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6"/>
                <w:sz w:val="24"/>
                <w:szCs w:val="24"/>
                <w:lang w:eastAsia="ru-RU"/>
              </w:rPr>
              <w:t xml:space="preserve">1 </w:t>
            </w:r>
            <w:r w:rsidRPr="004E502A">
              <w:rPr>
                <w:rFonts w:eastAsia="Times New Roman"/>
                <w:spacing w:val="-6"/>
                <w:sz w:val="24"/>
                <w:szCs w:val="24"/>
                <w:lang w:eastAsia="ru-RU"/>
              </w:rPr>
              <w:t>421 622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20,6%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6"/>
                <w:sz w:val="24"/>
                <w:szCs w:val="24"/>
                <w:lang w:eastAsia="ru-RU"/>
              </w:rPr>
              <w:t xml:space="preserve">1 </w:t>
            </w:r>
            <w:r w:rsidRPr="004E502A">
              <w:rPr>
                <w:rFonts w:eastAsia="Times New Roman"/>
                <w:spacing w:val="-6"/>
                <w:sz w:val="24"/>
                <w:szCs w:val="24"/>
                <w:lang w:eastAsia="ru-RU"/>
              </w:rPr>
              <w:t>572 466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10,6%</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3"/>
                <w:sz w:val="24"/>
                <w:szCs w:val="24"/>
                <w:lang w:eastAsia="ru-RU"/>
              </w:rPr>
              <w:t>Чистая прибыль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тыс. 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9"/>
                <w:sz w:val="24"/>
                <w:szCs w:val="24"/>
                <w:lang w:eastAsia="ru-RU"/>
              </w:rPr>
              <w:t>191 662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5"/>
                <w:sz w:val="24"/>
                <w:szCs w:val="24"/>
                <w:lang w:eastAsia="ru-RU"/>
              </w:rPr>
              <w:t>262 280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36,8%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6"/>
                <w:sz w:val="24"/>
                <w:szCs w:val="24"/>
                <w:lang w:eastAsia="ru-RU"/>
              </w:rPr>
              <w:t>309 992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4"/>
                <w:szCs w:val="24"/>
                <w:lang w:eastAsia="ru-RU"/>
              </w:rPr>
              <w:t>18,2%</w:t>
            </w:r>
          </w:p>
        </w:tc>
      </w:tr>
      <w:tr w:rsidR="002A5387" w:rsidRPr="004E502A" w:rsidTr="00E92EAC">
        <w:tblPrEx>
          <w:tblCellMar>
            <w:top w:w="0" w:type="dxa"/>
            <w:bottom w:w="0" w:type="dxa"/>
          </w:tblCellMar>
        </w:tblPrEx>
        <w:tc>
          <w:tcPr>
            <w:tcW w:w="2167" w:type="dxa"/>
            <w:tcBorders>
              <w:top w:val="single" w:sz="6" w:space="0" w:color="auto"/>
              <w:left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Дивиденды в</w:t>
            </w:r>
          </w:p>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федеральный</w:t>
            </w:r>
          </w:p>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бюджет</w:t>
            </w:r>
          </w:p>
        </w:tc>
        <w:tc>
          <w:tcPr>
            <w:tcW w:w="1701"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тыс. руб.</w:t>
            </w:r>
          </w:p>
        </w:tc>
        <w:tc>
          <w:tcPr>
            <w:tcW w:w="1275"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21 801</w:t>
            </w:r>
          </w:p>
        </w:tc>
        <w:tc>
          <w:tcPr>
            <w:tcW w:w="1276"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54 113</w:t>
            </w:r>
          </w:p>
        </w:tc>
        <w:tc>
          <w:tcPr>
            <w:tcW w:w="992"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4"/>
                <w:szCs w:val="24"/>
                <w:lang w:eastAsia="ru-RU"/>
              </w:rPr>
              <w:t>148,2%</w:t>
            </w:r>
          </w:p>
        </w:tc>
        <w:tc>
          <w:tcPr>
            <w:tcW w:w="1276"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65 570</w:t>
            </w:r>
          </w:p>
        </w:tc>
        <w:tc>
          <w:tcPr>
            <w:tcW w:w="992"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21,2%</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2"/>
                <w:sz w:val="24"/>
                <w:szCs w:val="24"/>
                <w:lang w:eastAsia="ru-RU"/>
              </w:rPr>
              <w:t>Чистые активы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тыс.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7"/>
                <w:sz w:val="24"/>
                <w:szCs w:val="24"/>
                <w:lang w:eastAsia="ru-RU"/>
              </w:rPr>
              <w:t xml:space="preserve">1 </w:t>
            </w:r>
            <w:r w:rsidRPr="004E502A">
              <w:rPr>
                <w:rFonts w:eastAsia="Times New Roman"/>
                <w:spacing w:val="-7"/>
                <w:sz w:val="24"/>
                <w:szCs w:val="24"/>
                <w:lang w:eastAsia="ru-RU"/>
              </w:rPr>
              <w:t>736 345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6"/>
                <w:sz w:val="24"/>
                <w:szCs w:val="24"/>
                <w:lang w:eastAsia="ru-RU"/>
              </w:rPr>
              <w:t xml:space="preserve">1 940 </w:t>
            </w:r>
            <w:r w:rsidRPr="004E502A">
              <w:rPr>
                <w:rFonts w:eastAsia="Times New Roman"/>
                <w:spacing w:val="-6"/>
                <w:sz w:val="24"/>
                <w:szCs w:val="24"/>
                <w:lang w:eastAsia="ru-RU"/>
              </w:rPr>
              <w:t>877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pacing w:val="-4"/>
                <w:sz w:val="24"/>
                <w:szCs w:val="24"/>
                <w:lang w:eastAsia="ru-RU"/>
              </w:rPr>
              <w:t xml:space="preserve">2 </w:t>
            </w:r>
            <w:r w:rsidRPr="004E502A">
              <w:rPr>
                <w:rFonts w:eastAsia="Times New Roman"/>
                <w:spacing w:val="-4"/>
                <w:sz w:val="24"/>
                <w:szCs w:val="24"/>
                <w:lang w:eastAsia="ru-RU"/>
              </w:rPr>
              <w:t>178 437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jc w:val="center"/>
              <w:rPr>
                <w:rFonts w:eastAsia="Times New Roman"/>
                <w:sz w:val="20"/>
                <w:szCs w:val="20"/>
                <w:lang w:eastAsia="ru-RU"/>
              </w:rPr>
            </w:pPr>
            <w:r w:rsidRPr="004E502A">
              <w:rPr>
                <w:rFonts w:eastAsia="Times New Roman"/>
                <w:sz w:val="24"/>
                <w:szCs w:val="24"/>
                <w:lang w:eastAsia="ru-RU"/>
              </w:rPr>
              <w:t>12,2%</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right="562" w:firstLine="142"/>
              <w:rPr>
                <w:rFonts w:eastAsia="Times New Roman"/>
                <w:sz w:val="20"/>
                <w:szCs w:val="20"/>
                <w:lang w:eastAsia="ru-RU"/>
              </w:rPr>
            </w:pPr>
            <w:r w:rsidRPr="004E502A">
              <w:rPr>
                <w:rFonts w:eastAsia="Times New Roman"/>
                <w:sz w:val="24"/>
                <w:szCs w:val="24"/>
                <w:lang w:eastAsia="ru-RU"/>
              </w:rPr>
              <w:t>К-т текущей ликвидности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3"/>
                <w:sz w:val="24"/>
                <w:szCs w:val="24"/>
                <w:lang w:eastAsia="ru-RU"/>
              </w:rPr>
              <w:t>безразмерный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4"/>
                <w:szCs w:val="24"/>
                <w:lang w:eastAsia="ru-RU"/>
              </w:rPr>
              <w:t>1,36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0,46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jc w:val="center"/>
              <w:rPr>
                <w:rFonts w:eastAsia="Times New Roman"/>
                <w:sz w:val="20"/>
                <w:szCs w:val="20"/>
                <w:lang w:eastAsia="ru-RU"/>
              </w:rPr>
            </w:pPr>
            <w:r w:rsidRPr="004E502A">
              <w:rPr>
                <w:rFonts w:eastAsia="Times New Roman"/>
                <w:sz w:val="24"/>
                <w:szCs w:val="24"/>
                <w:lang w:eastAsia="ru-RU"/>
              </w:rPr>
              <w:t>0,6</w:t>
            </w:r>
          </w:p>
        </w:tc>
      </w:tr>
      <w:tr w:rsidR="002A5387" w:rsidRPr="004E502A" w:rsidTr="00E92EAC">
        <w:tblPrEx>
          <w:tblCellMar>
            <w:top w:w="0" w:type="dxa"/>
            <w:bottom w:w="0" w:type="dxa"/>
          </w:tblCellMar>
        </w:tblPrEx>
        <w:tc>
          <w:tcPr>
            <w:tcW w:w="2167"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3"/>
                <w:sz w:val="24"/>
                <w:szCs w:val="24"/>
                <w:lang w:eastAsia="ru-RU"/>
              </w:rPr>
              <w:t>К-т автономии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3"/>
                <w:sz w:val="24"/>
                <w:szCs w:val="24"/>
                <w:lang w:eastAsia="ru-RU"/>
              </w:rPr>
              <w:t>безразмерный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0,75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0,05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0,82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firstLine="142"/>
              <w:jc w:val="center"/>
              <w:rPr>
                <w:rFonts w:eastAsia="Times New Roman"/>
                <w:sz w:val="20"/>
                <w:szCs w:val="20"/>
                <w:lang w:eastAsia="ru-RU"/>
              </w:rPr>
            </w:pPr>
            <w:r w:rsidRPr="004E502A">
              <w:rPr>
                <w:rFonts w:eastAsia="Times New Roman"/>
                <w:sz w:val="24"/>
                <w:szCs w:val="24"/>
                <w:lang w:eastAsia="ru-RU"/>
              </w:rPr>
              <w:t>0,02</w:t>
            </w:r>
          </w:p>
        </w:tc>
      </w:tr>
      <w:tr w:rsidR="002A5387" w:rsidRPr="004E502A" w:rsidTr="00E92EAC">
        <w:tblPrEx>
          <w:tblCellMar>
            <w:top w:w="0" w:type="dxa"/>
            <w:bottom w:w="0" w:type="dxa"/>
          </w:tblCellMar>
        </w:tblPrEx>
        <w:tc>
          <w:tcPr>
            <w:tcW w:w="2167" w:type="dxa"/>
            <w:tcBorders>
              <w:top w:val="single" w:sz="6" w:space="0" w:color="auto"/>
              <w:left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left="142"/>
              <w:rPr>
                <w:rFonts w:eastAsia="Times New Roman"/>
                <w:sz w:val="20"/>
                <w:szCs w:val="20"/>
                <w:lang w:eastAsia="ru-RU"/>
              </w:rPr>
            </w:pPr>
            <w:r w:rsidRPr="004E502A">
              <w:rPr>
                <w:rFonts w:eastAsia="Times New Roman"/>
                <w:spacing w:val="-2"/>
                <w:sz w:val="24"/>
                <w:szCs w:val="24"/>
                <w:lang w:eastAsia="ru-RU"/>
              </w:rPr>
              <w:t>К-т соотношения</w:t>
            </w:r>
          </w:p>
          <w:p w:rsidR="002A5387" w:rsidRPr="004E502A" w:rsidRDefault="002A5387" w:rsidP="00E92EAC">
            <w:pPr>
              <w:widowControl w:val="0"/>
              <w:shd w:val="clear" w:color="auto" w:fill="FFFFFF"/>
              <w:autoSpaceDE w:val="0"/>
              <w:autoSpaceDN w:val="0"/>
              <w:adjustRightInd w:val="0"/>
              <w:ind w:left="142" w:right="557"/>
              <w:rPr>
                <w:rFonts w:eastAsia="Times New Roman"/>
                <w:sz w:val="20"/>
                <w:szCs w:val="20"/>
                <w:lang w:eastAsia="ru-RU"/>
              </w:rPr>
            </w:pPr>
            <w:r w:rsidRPr="004E502A">
              <w:rPr>
                <w:rFonts w:eastAsia="Times New Roman"/>
                <w:sz w:val="24"/>
                <w:szCs w:val="24"/>
                <w:lang w:eastAsia="ru-RU"/>
              </w:rPr>
              <w:t>заемных и собственных</w:t>
            </w:r>
          </w:p>
          <w:p w:rsidR="002A5387" w:rsidRPr="004E502A" w:rsidRDefault="002A5387" w:rsidP="00E92EAC">
            <w:pPr>
              <w:widowControl w:val="0"/>
              <w:shd w:val="clear" w:color="auto" w:fill="FFFFFF"/>
              <w:autoSpaceDE w:val="0"/>
              <w:autoSpaceDN w:val="0"/>
              <w:adjustRightInd w:val="0"/>
              <w:ind w:left="142"/>
              <w:rPr>
                <w:rFonts w:eastAsia="Times New Roman"/>
                <w:sz w:val="20"/>
                <w:szCs w:val="20"/>
                <w:lang w:eastAsia="ru-RU"/>
              </w:rPr>
            </w:pPr>
            <w:r w:rsidRPr="004E502A">
              <w:rPr>
                <w:rFonts w:eastAsia="Times New Roman"/>
                <w:sz w:val="24"/>
                <w:szCs w:val="24"/>
                <w:lang w:eastAsia="ru-RU"/>
              </w:rPr>
              <w:t>средств</w:t>
            </w:r>
          </w:p>
        </w:tc>
        <w:tc>
          <w:tcPr>
            <w:tcW w:w="1701"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3"/>
                <w:sz w:val="24"/>
                <w:szCs w:val="24"/>
                <w:lang w:eastAsia="ru-RU"/>
              </w:rPr>
              <w:t>безразмерный</w:t>
            </w:r>
          </w:p>
        </w:tc>
        <w:tc>
          <w:tcPr>
            <w:tcW w:w="1275"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0,33</w:t>
            </w:r>
          </w:p>
        </w:tc>
        <w:tc>
          <w:tcPr>
            <w:tcW w:w="1276"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0,25</w:t>
            </w:r>
          </w:p>
        </w:tc>
        <w:tc>
          <w:tcPr>
            <w:tcW w:w="992"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-0,08</w:t>
            </w:r>
          </w:p>
        </w:tc>
        <w:tc>
          <w:tcPr>
            <w:tcW w:w="1276"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0,22</w:t>
            </w:r>
          </w:p>
        </w:tc>
        <w:tc>
          <w:tcPr>
            <w:tcW w:w="992"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-0,03</w:t>
            </w:r>
          </w:p>
        </w:tc>
      </w:tr>
      <w:tr w:rsidR="002A5387" w:rsidRPr="004E502A" w:rsidTr="00E92EAC">
        <w:tblPrEx>
          <w:tblCellMar>
            <w:top w:w="0" w:type="dxa"/>
            <w:bottom w:w="0" w:type="dxa"/>
          </w:tblCellMar>
        </w:tblPrEx>
        <w:tc>
          <w:tcPr>
            <w:tcW w:w="2167" w:type="dxa"/>
            <w:tcBorders>
              <w:top w:val="single" w:sz="6" w:space="0" w:color="auto"/>
              <w:left w:val="single" w:sz="6"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left="142"/>
              <w:rPr>
                <w:rFonts w:eastAsia="Times New Roman"/>
                <w:sz w:val="20"/>
                <w:szCs w:val="20"/>
                <w:lang w:eastAsia="ru-RU"/>
              </w:rPr>
            </w:pPr>
            <w:r w:rsidRPr="004E502A">
              <w:rPr>
                <w:rFonts w:eastAsia="Times New Roman"/>
                <w:spacing w:val="-3"/>
                <w:sz w:val="24"/>
                <w:szCs w:val="24"/>
                <w:lang w:eastAsia="ru-RU"/>
              </w:rPr>
              <w:t>Рентабельность</w:t>
            </w:r>
          </w:p>
          <w:p w:rsidR="002A5387" w:rsidRPr="004E502A" w:rsidRDefault="002A5387" w:rsidP="00E92EAC">
            <w:pPr>
              <w:widowControl w:val="0"/>
              <w:shd w:val="clear" w:color="auto" w:fill="FFFFFF"/>
              <w:autoSpaceDE w:val="0"/>
              <w:autoSpaceDN w:val="0"/>
              <w:adjustRightInd w:val="0"/>
              <w:ind w:left="142"/>
              <w:rPr>
                <w:rFonts w:eastAsia="Times New Roman"/>
                <w:sz w:val="20"/>
                <w:szCs w:val="20"/>
                <w:lang w:eastAsia="ru-RU"/>
              </w:rPr>
            </w:pPr>
            <w:r w:rsidRPr="004E502A">
              <w:rPr>
                <w:rFonts w:eastAsia="Times New Roman"/>
                <w:sz w:val="24"/>
                <w:szCs w:val="24"/>
                <w:lang w:eastAsia="ru-RU"/>
              </w:rPr>
              <w:t>собственного</w:t>
            </w:r>
          </w:p>
          <w:p w:rsidR="002A5387" w:rsidRPr="004E502A" w:rsidRDefault="002A5387" w:rsidP="00E92EAC">
            <w:pPr>
              <w:widowControl w:val="0"/>
              <w:shd w:val="clear" w:color="auto" w:fill="FFFFFF"/>
              <w:autoSpaceDE w:val="0"/>
              <w:autoSpaceDN w:val="0"/>
              <w:adjustRightInd w:val="0"/>
              <w:ind w:left="142" w:right="139"/>
              <w:rPr>
                <w:rFonts w:eastAsia="Times New Roman"/>
                <w:sz w:val="20"/>
                <w:szCs w:val="20"/>
                <w:lang w:eastAsia="ru-RU"/>
              </w:rPr>
            </w:pPr>
            <w:r w:rsidRPr="004E502A">
              <w:rPr>
                <w:rFonts w:eastAsia="Times New Roman"/>
                <w:sz w:val="24"/>
                <w:szCs w:val="24"/>
                <w:lang w:eastAsia="ru-RU"/>
              </w:rPr>
              <w:t>капитала(чистая прибыль /</w:t>
            </w:r>
          </w:p>
          <w:p w:rsidR="002A5387" w:rsidRPr="004E502A" w:rsidRDefault="002A5387" w:rsidP="00E92EAC">
            <w:pPr>
              <w:widowControl w:val="0"/>
              <w:shd w:val="clear" w:color="auto" w:fill="FFFFFF"/>
              <w:autoSpaceDE w:val="0"/>
              <w:autoSpaceDN w:val="0"/>
              <w:adjustRightInd w:val="0"/>
              <w:ind w:left="142"/>
              <w:rPr>
                <w:rFonts w:eastAsia="Times New Roman"/>
                <w:sz w:val="20"/>
                <w:szCs w:val="20"/>
                <w:lang w:eastAsia="ru-RU"/>
              </w:rPr>
            </w:pPr>
            <w:r w:rsidRPr="004E502A">
              <w:rPr>
                <w:rFonts w:eastAsia="Times New Roman"/>
                <w:sz w:val="24"/>
                <w:szCs w:val="24"/>
                <w:lang w:eastAsia="ru-RU"/>
              </w:rPr>
              <w:t>собственный</w:t>
            </w:r>
          </w:p>
          <w:p w:rsidR="002A5387" w:rsidRPr="004E502A" w:rsidRDefault="002A5387" w:rsidP="00E92EAC">
            <w:pPr>
              <w:widowControl w:val="0"/>
              <w:shd w:val="clear" w:color="auto" w:fill="FFFFFF"/>
              <w:autoSpaceDE w:val="0"/>
              <w:autoSpaceDN w:val="0"/>
              <w:adjustRightInd w:val="0"/>
              <w:ind w:left="142"/>
              <w:rPr>
                <w:rFonts w:eastAsia="Times New Roman"/>
                <w:sz w:val="20"/>
                <w:szCs w:val="20"/>
                <w:lang w:eastAsia="ru-RU"/>
              </w:rPr>
            </w:pPr>
            <w:r w:rsidRPr="004E502A">
              <w:rPr>
                <w:rFonts w:eastAsia="Times New Roman"/>
                <w:sz w:val="24"/>
                <w:szCs w:val="24"/>
                <w:lang w:eastAsia="ru-RU"/>
              </w:rPr>
              <w:t>капитал)</w:t>
            </w:r>
          </w:p>
        </w:tc>
        <w:tc>
          <w:tcPr>
            <w:tcW w:w="1701"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0"/>
                <w:szCs w:val="20"/>
                <w:lang w:eastAsia="ru-RU"/>
              </w:rPr>
              <w:t>%</w:t>
            </w:r>
          </w:p>
        </w:tc>
        <w:tc>
          <w:tcPr>
            <w:tcW w:w="1275"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11</w:t>
            </w:r>
          </w:p>
        </w:tc>
        <w:tc>
          <w:tcPr>
            <w:tcW w:w="1276"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13,5</w:t>
            </w:r>
          </w:p>
        </w:tc>
        <w:tc>
          <w:tcPr>
            <w:tcW w:w="992"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4"/>
                <w:szCs w:val="24"/>
                <w:lang w:eastAsia="ru-RU"/>
              </w:rPr>
              <w:t>2,5 п.п.</w:t>
            </w:r>
          </w:p>
        </w:tc>
        <w:tc>
          <w:tcPr>
            <w:tcW w:w="1276"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14,2</w:t>
            </w:r>
          </w:p>
        </w:tc>
        <w:tc>
          <w:tcPr>
            <w:tcW w:w="992" w:type="dxa"/>
            <w:tcBorders>
              <w:top w:val="single" w:sz="6" w:space="0" w:color="auto"/>
              <w:left w:val="single" w:sz="6"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pacing w:val="-7"/>
                <w:sz w:val="24"/>
                <w:szCs w:val="24"/>
                <w:lang w:eastAsia="ru-RU"/>
              </w:rPr>
              <w:t xml:space="preserve">0,7 </w:t>
            </w:r>
            <w:r w:rsidRPr="004E502A">
              <w:rPr>
                <w:rFonts w:eastAsia="Times New Roman"/>
                <w:bCs/>
                <w:spacing w:val="-7"/>
                <w:sz w:val="24"/>
                <w:szCs w:val="24"/>
                <w:lang w:eastAsia="ru-RU"/>
              </w:rPr>
              <w:t>п.п.</w:t>
            </w:r>
          </w:p>
        </w:tc>
      </w:tr>
      <w:tr w:rsidR="002A5387" w:rsidRPr="004E502A" w:rsidTr="00E92EAC">
        <w:tblPrEx>
          <w:tblCellMar>
            <w:top w:w="0" w:type="dxa"/>
            <w:bottom w:w="0" w:type="dxa"/>
          </w:tblCellMar>
        </w:tblPrEx>
        <w:trPr>
          <w:trHeight w:val="815"/>
        </w:trPr>
        <w:tc>
          <w:tcPr>
            <w:tcW w:w="2167" w:type="dxa"/>
            <w:tcBorders>
              <w:top w:val="single" w:sz="6" w:space="0" w:color="auto"/>
              <w:left w:val="single" w:sz="6" w:space="0" w:color="auto"/>
              <w:bottom w:val="single" w:sz="4" w:space="0" w:color="auto"/>
              <w:right w:val="single" w:sz="6" w:space="0" w:color="auto"/>
            </w:tcBorders>
            <w:shd w:val="clear" w:color="auto" w:fill="FFFFFF"/>
          </w:tcPr>
          <w:p w:rsidR="002A5387" w:rsidRPr="004E502A" w:rsidRDefault="002A5387" w:rsidP="00E92EAC">
            <w:pPr>
              <w:widowControl w:val="0"/>
              <w:shd w:val="clear" w:color="auto" w:fill="FFFFFF"/>
              <w:autoSpaceDE w:val="0"/>
              <w:autoSpaceDN w:val="0"/>
              <w:adjustRightInd w:val="0"/>
              <w:ind w:left="142"/>
              <w:rPr>
                <w:rFonts w:eastAsia="Times New Roman"/>
                <w:sz w:val="20"/>
                <w:szCs w:val="20"/>
                <w:lang w:eastAsia="ru-RU"/>
              </w:rPr>
            </w:pPr>
            <w:r w:rsidRPr="004E502A">
              <w:rPr>
                <w:rFonts w:eastAsia="Times New Roman"/>
                <w:spacing w:val="-3"/>
                <w:sz w:val="24"/>
                <w:szCs w:val="24"/>
                <w:lang w:eastAsia="ru-RU"/>
              </w:rPr>
              <w:t>Рентабельность</w:t>
            </w:r>
          </w:p>
          <w:p w:rsidR="002A5387" w:rsidRPr="004E502A" w:rsidRDefault="002A5387" w:rsidP="00E92EAC">
            <w:pPr>
              <w:widowControl w:val="0"/>
              <w:shd w:val="clear" w:color="auto" w:fill="FFFFFF"/>
              <w:autoSpaceDE w:val="0"/>
              <w:autoSpaceDN w:val="0"/>
              <w:adjustRightInd w:val="0"/>
              <w:ind w:left="142" w:right="72"/>
              <w:rPr>
                <w:rFonts w:eastAsia="Times New Roman"/>
                <w:sz w:val="20"/>
                <w:szCs w:val="20"/>
                <w:lang w:eastAsia="ru-RU"/>
              </w:rPr>
            </w:pPr>
            <w:r w:rsidRPr="004E502A">
              <w:rPr>
                <w:rFonts w:eastAsia="Times New Roman"/>
                <w:spacing w:val="-3"/>
                <w:sz w:val="24"/>
                <w:szCs w:val="24"/>
                <w:lang w:eastAsia="ru-RU"/>
              </w:rPr>
              <w:t xml:space="preserve">продаж (прибыль </w:t>
            </w:r>
            <w:r w:rsidRPr="004E502A">
              <w:rPr>
                <w:rFonts w:eastAsia="Times New Roman"/>
                <w:sz w:val="24"/>
                <w:szCs w:val="24"/>
                <w:lang w:eastAsia="ru-RU"/>
              </w:rPr>
              <w:t>от продаж /</w:t>
            </w:r>
            <w:r w:rsidR="00E92EAC" w:rsidRPr="004E502A">
              <w:rPr>
                <w:rFonts w:eastAsia="Times New Roman"/>
                <w:sz w:val="24"/>
                <w:szCs w:val="24"/>
                <w:lang w:eastAsia="ru-RU"/>
              </w:rPr>
              <w:t xml:space="preserve"> выручка)</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0"/>
                <w:szCs w:val="20"/>
                <w:lang w:eastAsia="ru-RU"/>
              </w:rPr>
              <w:t>%</w:t>
            </w:r>
          </w:p>
        </w:tc>
        <w:tc>
          <w:tcPr>
            <w:tcW w:w="1275" w:type="dxa"/>
            <w:tcBorders>
              <w:top w:val="single" w:sz="6" w:space="0" w:color="auto"/>
              <w:left w:val="single" w:sz="6" w:space="0" w:color="auto"/>
              <w:bottom w:val="single" w:sz="4"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19</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20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 xml:space="preserve">1,0 </w:t>
            </w:r>
            <w:r w:rsidRPr="004E502A">
              <w:rPr>
                <w:rFonts w:eastAsia="Times New Roman"/>
                <w:bCs/>
                <w:sz w:val="24"/>
                <w:szCs w:val="24"/>
                <w:lang w:eastAsia="ru-RU"/>
              </w:rPr>
              <w:t>п.п.</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sz w:val="24"/>
                <w:szCs w:val="24"/>
                <w:lang w:eastAsia="ru-RU"/>
              </w:rPr>
              <w:t>21</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A5387" w:rsidRPr="004E502A" w:rsidRDefault="002A5387" w:rsidP="00E92EAC">
            <w:pPr>
              <w:widowControl w:val="0"/>
              <w:shd w:val="clear" w:color="auto" w:fill="FFFFFF"/>
              <w:autoSpaceDE w:val="0"/>
              <w:autoSpaceDN w:val="0"/>
              <w:adjustRightInd w:val="0"/>
              <w:ind w:firstLine="142"/>
              <w:rPr>
                <w:rFonts w:eastAsia="Times New Roman"/>
                <w:sz w:val="20"/>
                <w:szCs w:val="20"/>
                <w:lang w:eastAsia="ru-RU"/>
              </w:rPr>
            </w:pPr>
            <w:r w:rsidRPr="004E502A">
              <w:rPr>
                <w:rFonts w:eastAsia="Times New Roman"/>
                <w:bCs/>
                <w:sz w:val="24"/>
                <w:szCs w:val="24"/>
                <w:lang w:eastAsia="ru-RU"/>
              </w:rPr>
              <w:t>1 п.п.</w:t>
            </w:r>
          </w:p>
        </w:tc>
      </w:tr>
    </w:tbl>
    <w:p w:rsidR="004E502A" w:rsidRPr="002A5387" w:rsidRDefault="002A5387" w:rsidP="002A5387">
      <w:pPr>
        <w:widowControl w:val="0"/>
        <w:shd w:val="clear" w:color="auto" w:fill="FFFFFF"/>
        <w:autoSpaceDE w:val="0"/>
        <w:autoSpaceDN w:val="0"/>
        <w:adjustRightInd w:val="0"/>
        <w:ind w:right="96" w:firstLine="142"/>
        <w:jc w:val="both"/>
        <w:rPr>
          <w:rFonts w:eastAsia="Times New Roman"/>
          <w:sz w:val="18"/>
          <w:szCs w:val="18"/>
          <w:lang w:eastAsia="ru-RU"/>
        </w:rPr>
      </w:pPr>
      <w:r w:rsidRPr="002A5387">
        <w:rPr>
          <w:rFonts w:eastAsia="Times New Roman"/>
          <w:spacing w:val="-1"/>
          <w:sz w:val="18"/>
          <w:szCs w:val="18"/>
          <w:lang w:eastAsia="ru-RU"/>
        </w:rPr>
        <w:t>*</w:t>
      </w:r>
      <w:r w:rsidR="004E502A" w:rsidRPr="004E502A">
        <w:rPr>
          <w:rFonts w:eastAsia="Times New Roman"/>
          <w:spacing w:val="-1"/>
          <w:sz w:val="18"/>
          <w:szCs w:val="18"/>
          <w:lang w:eastAsia="ru-RU"/>
        </w:rPr>
        <w:t xml:space="preserve"> для сопоставимости данных, показатели за 2011 год представлены за 12 месяцев, с учетом работы ФГУП </w:t>
      </w:r>
      <w:r w:rsidR="004E502A" w:rsidRPr="004E502A">
        <w:rPr>
          <w:rFonts w:eastAsia="Times New Roman"/>
          <w:spacing w:val="-2"/>
          <w:sz w:val="18"/>
          <w:szCs w:val="18"/>
          <w:lang w:eastAsia="ru-RU"/>
        </w:rPr>
        <w:t>«Аэропорт Иркутск» с января по февраль и ОАО «</w:t>
      </w:r>
      <w:r w:rsidR="00CB5981">
        <w:rPr>
          <w:rFonts w:eastAsia="Times New Roman"/>
          <w:spacing w:val="-2"/>
          <w:sz w:val="18"/>
          <w:szCs w:val="18"/>
          <w:lang w:eastAsia="ru-RU"/>
        </w:rPr>
        <w:t>КОМПАНИЯ</w:t>
      </w:r>
      <w:r w:rsidR="004E502A" w:rsidRPr="004E502A">
        <w:rPr>
          <w:rFonts w:eastAsia="Times New Roman"/>
          <w:spacing w:val="-2"/>
          <w:sz w:val="18"/>
          <w:szCs w:val="18"/>
          <w:lang w:eastAsia="ru-RU"/>
        </w:rPr>
        <w:t xml:space="preserve">» с марта по декабрь в </w:t>
      </w:r>
      <w:r w:rsidR="004E502A" w:rsidRPr="004E502A">
        <w:rPr>
          <w:rFonts w:eastAsia="Times New Roman"/>
          <w:sz w:val="18"/>
          <w:szCs w:val="18"/>
          <w:lang w:eastAsia="ru-RU"/>
        </w:rPr>
        <w:t>связи с реорганизацией предприятия с 01.03.2011 г. из ФГУП в ОАО</w:t>
      </w:r>
    </w:p>
    <w:p w:rsidR="004E502A" w:rsidRDefault="004E502A" w:rsidP="002A5387">
      <w:pPr>
        <w:widowControl w:val="0"/>
        <w:shd w:val="clear" w:color="auto" w:fill="FFFFFF"/>
        <w:autoSpaceDE w:val="0"/>
        <w:autoSpaceDN w:val="0"/>
        <w:adjustRightInd w:val="0"/>
        <w:ind w:right="96" w:firstLine="142"/>
        <w:jc w:val="both"/>
        <w:rPr>
          <w:rFonts w:eastAsia="Times New Roman"/>
          <w:sz w:val="20"/>
          <w:szCs w:val="20"/>
          <w:lang w:eastAsia="ru-RU"/>
        </w:rPr>
      </w:pPr>
    </w:p>
    <w:p w:rsidR="004E502A" w:rsidRPr="004E502A" w:rsidRDefault="004E502A" w:rsidP="006D6422">
      <w:pPr>
        <w:widowControl w:val="0"/>
        <w:shd w:val="clear" w:color="auto" w:fill="FFFFFF"/>
        <w:autoSpaceDE w:val="0"/>
        <w:autoSpaceDN w:val="0"/>
        <w:adjustRightInd w:val="0"/>
        <w:spacing w:line="360" w:lineRule="auto"/>
        <w:ind w:firstLine="425"/>
        <w:jc w:val="both"/>
        <w:rPr>
          <w:sz w:val="24"/>
          <w:szCs w:val="24"/>
        </w:rPr>
      </w:pPr>
      <w:r w:rsidRPr="004E502A">
        <w:rPr>
          <w:sz w:val="24"/>
          <w:szCs w:val="24"/>
        </w:rPr>
        <w:t xml:space="preserve">Из таблицы </w:t>
      </w:r>
      <w:r>
        <w:rPr>
          <w:sz w:val="24"/>
          <w:szCs w:val="24"/>
        </w:rPr>
        <w:t>2</w:t>
      </w:r>
      <w:r w:rsidRPr="004E502A">
        <w:rPr>
          <w:sz w:val="24"/>
          <w:szCs w:val="24"/>
        </w:rPr>
        <w:t xml:space="preserve"> видно, что динамика финансово-экономических показателей ОАО</w:t>
      </w:r>
      <w:r w:rsidR="00E92EAC">
        <w:rPr>
          <w:sz w:val="24"/>
          <w:szCs w:val="24"/>
        </w:rPr>
        <w:t> </w:t>
      </w:r>
      <w:r w:rsidRPr="004E502A">
        <w:rPr>
          <w:sz w:val="24"/>
          <w:szCs w:val="24"/>
        </w:rPr>
        <w:t>«</w:t>
      </w:r>
      <w:r w:rsidR="00CB5981">
        <w:rPr>
          <w:sz w:val="24"/>
          <w:szCs w:val="24"/>
        </w:rPr>
        <w:t>КОМПАНИЯ</w:t>
      </w:r>
      <w:r w:rsidRPr="004E502A">
        <w:rPr>
          <w:sz w:val="24"/>
          <w:szCs w:val="24"/>
        </w:rPr>
        <w:t>» положительна. Рост выручки опережал рост расходов, что выразилось в росте показателей рентабельности в 2012 и 2013гг. Показатели ликвидности и финансовой устойчивости свидетельствуют об улучшении финансового положения Общества. Особенно заметно улучшение коэффициента текущей ликвидности. По итогам 2011г. значение данного коэффициента составляло 0,9. За два последующих года данный коэффициент вырос более чем в два раза, до значения в 1,8.</w:t>
      </w:r>
    </w:p>
    <w:p w:rsidR="0044308A" w:rsidRDefault="004E502A" w:rsidP="006D6422">
      <w:pPr>
        <w:spacing w:line="360" w:lineRule="auto"/>
        <w:ind w:firstLine="425"/>
        <w:jc w:val="both"/>
        <w:rPr>
          <w:sz w:val="24"/>
          <w:szCs w:val="24"/>
        </w:rPr>
      </w:pPr>
      <w:r w:rsidRPr="004E502A">
        <w:rPr>
          <w:sz w:val="24"/>
          <w:szCs w:val="24"/>
        </w:rPr>
        <w:t>За период 2011-2013г.г. Обществом перечислено дивидендов в федеральный бюджет на сумму 141 484 тыс. руб.</w:t>
      </w:r>
    </w:p>
    <w:p w:rsidR="00E92EAC" w:rsidRPr="00E92EAC" w:rsidRDefault="00E92EAC" w:rsidP="006D6422">
      <w:pPr>
        <w:spacing w:line="360" w:lineRule="auto"/>
        <w:ind w:firstLine="425"/>
        <w:jc w:val="both"/>
        <w:rPr>
          <w:sz w:val="24"/>
          <w:szCs w:val="24"/>
        </w:rPr>
      </w:pPr>
      <w:r>
        <w:rPr>
          <w:sz w:val="24"/>
          <w:szCs w:val="24"/>
        </w:rPr>
        <w:t xml:space="preserve">В период </w:t>
      </w:r>
      <w:r w:rsidR="007E0599">
        <w:rPr>
          <w:sz w:val="24"/>
          <w:szCs w:val="24"/>
        </w:rPr>
        <w:t>деятельности</w:t>
      </w:r>
      <w:r>
        <w:rPr>
          <w:sz w:val="24"/>
          <w:szCs w:val="24"/>
        </w:rPr>
        <w:t xml:space="preserve"> в Совете директоров в результате проделанной работы в обществе </w:t>
      </w:r>
      <w:r w:rsidR="00432D9C">
        <w:rPr>
          <w:sz w:val="24"/>
          <w:szCs w:val="24"/>
        </w:rPr>
        <w:t xml:space="preserve">была </w:t>
      </w:r>
      <w:r>
        <w:rPr>
          <w:sz w:val="24"/>
          <w:szCs w:val="24"/>
        </w:rPr>
        <w:t xml:space="preserve">выстроена система </w:t>
      </w:r>
      <w:r w:rsidR="00432D9C">
        <w:rPr>
          <w:sz w:val="24"/>
          <w:szCs w:val="24"/>
        </w:rPr>
        <w:t>корпоративного управления</w:t>
      </w:r>
      <w:r w:rsidR="007E0599">
        <w:rPr>
          <w:sz w:val="24"/>
          <w:szCs w:val="24"/>
        </w:rPr>
        <w:t xml:space="preserve"> (с учетом лучших практик корпоративного управления)</w:t>
      </w:r>
      <w:r w:rsidR="00432D9C">
        <w:rPr>
          <w:sz w:val="24"/>
          <w:szCs w:val="24"/>
        </w:rPr>
        <w:t>, что в свою очередь</w:t>
      </w:r>
      <w:r w:rsidR="007E0599">
        <w:rPr>
          <w:sz w:val="24"/>
          <w:szCs w:val="24"/>
        </w:rPr>
        <w:t xml:space="preserve"> позволило акционерному обществу развиваться в полном соответствии с законодательством и значительно повысить эффективность деятельности, качество планирования и добиться высоких финансово-экономических результатов.</w:t>
      </w:r>
    </w:p>
    <w:sectPr w:rsidR="00E92EAC" w:rsidRPr="00E92EAC" w:rsidSect="002F0EB4">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79"/>
    <w:rsid w:val="00196A95"/>
    <w:rsid w:val="00227AA5"/>
    <w:rsid w:val="002A32BA"/>
    <w:rsid w:val="002A5387"/>
    <w:rsid w:val="002F0EB4"/>
    <w:rsid w:val="003328C7"/>
    <w:rsid w:val="00343779"/>
    <w:rsid w:val="00432D9C"/>
    <w:rsid w:val="0044308A"/>
    <w:rsid w:val="004D6710"/>
    <w:rsid w:val="004D6D86"/>
    <w:rsid w:val="004E502A"/>
    <w:rsid w:val="00525D85"/>
    <w:rsid w:val="005E7869"/>
    <w:rsid w:val="005F52C9"/>
    <w:rsid w:val="006D6422"/>
    <w:rsid w:val="007E0599"/>
    <w:rsid w:val="0080557A"/>
    <w:rsid w:val="00A43B0A"/>
    <w:rsid w:val="00B6271F"/>
    <w:rsid w:val="00CB5981"/>
    <w:rsid w:val="00DA39BD"/>
    <w:rsid w:val="00DD1130"/>
    <w:rsid w:val="00E1550A"/>
    <w:rsid w:val="00E82C5E"/>
    <w:rsid w:val="00E9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681C-1B7E-4F2D-811B-47781D9D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50A"/>
    <w:rPr>
      <w:rFonts w:ascii="Tahoma" w:hAnsi="Tahoma" w:cs="Tahoma"/>
      <w:sz w:val="16"/>
      <w:szCs w:val="16"/>
    </w:rPr>
  </w:style>
  <w:style w:type="character" w:customStyle="1" w:styleId="a4">
    <w:name w:val="Текст выноски Знак"/>
    <w:link w:val="a3"/>
    <w:uiPriority w:val="99"/>
    <w:semiHidden/>
    <w:rsid w:val="00E155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9352-BBFD-492B-986A-2582FA05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Гарькавый Константин Георгиевич</dc:creator>
  <cp:keywords/>
  <dc:description/>
  <cp:lastModifiedBy>nikolay starchenko</cp:lastModifiedBy>
  <cp:revision>2</cp:revision>
  <cp:lastPrinted>2014-08-14T12:23:00Z</cp:lastPrinted>
  <dcterms:created xsi:type="dcterms:W3CDTF">2014-11-03T06:26:00Z</dcterms:created>
  <dcterms:modified xsi:type="dcterms:W3CDTF">2014-11-03T06:26:00Z</dcterms:modified>
</cp:coreProperties>
</file>